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57" w:leftChars="27" w:right="57"/>
        <w:jc w:val="center"/>
        <w:rPr>
          <w:rFonts w:ascii="仿宋" w:hAnsi="仿宋" w:eastAsia="仿宋" w:cs="仿宋"/>
          <w:b/>
          <w:bCs/>
          <w:sz w:val="52"/>
          <w:szCs w:val="52"/>
        </w:rPr>
      </w:pPr>
      <w:bookmarkStart w:id="0" w:name="_Toc49019216"/>
      <w:bookmarkStart w:id="1" w:name="_Toc47416177"/>
      <w:bookmarkStart w:id="2" w:name="_Toc47415923"/>
      <w:bookmarkStart w:id="3" w:name="_Toc87205231"/>
      <w:bookmarkStart w:id="4" w:name="_Toc16688"/>
      <w:r>
        <w:rPr>
          <w:rFonts w:hint="eastAsia" w:ascii="仿宋" w:hAnsi="仿宋" w:eastAsia="仿宋" w:cs="仿宋"/>
          <w:b/>
          <w:bCs/>
          <w:sz w:val="52"/>
          <w:szCs w:val="52"/>
          <w:lang w:val="en-US" w:eastAsia="zh-CN"/>
        </w:rPr>
        <w:t>西藏康城肿瘤医院医用耗材</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招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XXKCZLYY210002</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widowControl/>
        <w:ind w:left="2162" w:leftChars="762" w:right="57" w:hanging="562" w:hangingChars="175"/>
        <w:rPr>
          <w:rFonts w:hint="eastAsia" w:ascii="仿宋" w:hAnsi="仿宋" w:eastAsia="仿宋" w:cs="仿宋"/>
          <w:b/>
          <w:kern w:val="0"/>
          <w:sz w:val="32"/>
          <w:lang w:val="en-US" w:eastAsia="zh-CN"/>
        </w:rPr>
      </w:pPr>
      <w:r>
        <w:rPr>
          <w:rFonts w:hint="eastAsia" w:ascii="仿宋" w:hAnsi="仿宋" w:eastAsia="仿宋" w:cs="仿宋"/>
          <w:b/>
          <w:kern w:val="0"/>
          <w:sz w:val="32"/>
        </w:rPr>
        <w:t>采  购  人：</w:t>
      </w:r>
      <w:r>
        <w:rPr>
          <w:rFonts w:hint="eastAsia" w:ascii="仿宋" w:hAnsi="仿宋" w:eastAsia="仿宋" w:cs="仿宋"/>
          <w:b/>
          <w:kern w:val="0"/>
          <w:sz w:val="32"/>
          <w:lang w:val="en-US" w:eastAsia="zh-CN"/>
        </w:rPr>
        <w:t>西藏康城医疗管理有限公司</w:t>
      </w:r>
    </w:p>
    <w:p>
      <w:pPr>
        <w:widowControl/>
        <w:ind w:left="2168" w:right="57" w:hanging="2168" w:hangingChars="675"/>
        <w:jc w:val="center"/>
        <w:rPr>
          <w:rFonts w:ascii="仿宋" w:hAnsi="仿宋" w:eastAsia="仿宋" w:cs="仿宋"/>
          <w:b/>
          <w:kern w:val="0"/>
          <w:sz w:val="32"/>
        </w:rPr>
      </w:pPr>
    </w:p>
    <w:p>
      <w:pPr>
        <w:widowControl/>
        <w:ind w:right="57"/>
        <w:jc w:val="center"/>
        <w:rPr>
          <w:rFonts w:ascii="仿宋" w:hAnsi="仿宋" w:eastAsia="仿宋" w:cs="仿宋"/>
          <w:b/>
          <w:kern w:val="0"/>
          <w:sz w:val="32"/>
        </w:rPr>
      </w:pPr>
    </w:p>
    <w:p>
      <w:pPr>
        <w:widowControl/>
        <w:ind w:right="57" w:firstLine="1606" w:firstLineChars="500"/>
        <w:rPr>
          <w:rFonts w:ascii="仿宋" w:hAnsi="仿宋" w:eastAsia="仿宋" w:cs="仿宋"/>
          <w:b/>
          <w:kern w:val="0"/>
          <w:sz w:val="32"/>
        </w:rPr>
      </w:pPr>
      <w:r>
        <w:rPr>
          <w:rFonts w:hint="eastAsia" w:ascii="仿宋" w:hAnsi="仿宋" w:eastAsia="仿宋" w:cs="仿宋"/>
          <w:b/>
          <w:kern w:val="0"/>
          <w:sz w:val="32"/>
        </w:rPr>
        <w:t>日     期： 2021年11 月</w:t>
      </w:r>
    </w:p>
    <w:p>
      <w:pPr>
        <w:widowControl/>
        <w:ind w:right="57"/>
        <w:jc w:val="left"/>
        <w:rPr>
          <w:rFonts w:ascii="仿宋" w:hAnsi="仿宋" w:eastAsia="仿宋" w:cs="仿宋"/>
          <w:b/>
          <w:bCs/>
          <w:kern w:val="0"/>
          <w:sz w:val="32"/>
          <w:szCs w:val="32"/>
        </w:rPr>
      </w:pPr>
    </w:p>
    <w:p>
      <w:pPr>
        <w:pageBreakBefore/>
        <w:spacing w:line="360" w:lineRule="auto"/>
        <w:ind w:left="284" w:hanging="284"/>
        <w:jc w:val="center"/>
        <w:rPr>
          <w:rFonts w:ascii="仿宋" w:hAnsi="仿宋" w:eastAsia="仿宋" w:cs="仿宋"/>
          <w:b/>
          <w:bCs/>
          <w:sz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737" w:footer="737" w:gutter="0"/>
          <w:pgNumType w:fmt="numberInDash"/>
          <w:cols w:space="720" w:num="1"/>
          <w:titlePg/>
        </w:sectPr>
      </w:pPr>
    </w:p>
    <w:sdt>
      <w:sdtPr>
        <w:rPr>
          <w:rFonts w:ascii="Calibri" w:hAnsi="Calibri" w:eastAsia="宋体" w:cs="Times New Roman"/>
          <w:b w:val="0"/>
          <w:bCs w:val="0"/>
          <w:color w:val="auto"/>
          <w:w w:val="90"/>
          <w:kern w:val="2"/>
          <w:sz w:val="21"/>
          <w:szCs w:val="24"/>
          <w:lang w:val="zh-CN"/>
        </w:rPr>
        <w:id w:val="1291466633"/>
        <w:docPartObj>
          <w:docPartGallery w:val="Table of Contents"/>
          <w:docPartUnique/>
        </w:docPartObj>
      </w:sdtPr>
      <w:sdtEndPr>
        <w:rPr>
          <w:rStyle w:val="36"/>
          <w:rFonts w:ascii="黑体" w:hAnsi="Calibri" w:eastAsia="黑体" w:cs="Times New Roman"/>
          <w:b w:val="0"/>
          <w:bCs w:val="0"/>
          <w:color w:val="333333"/>
          <w:w w:val="90"/>
          <w:kern w:val="0"/>
          <w:sz w:val="28"/>
          <w:szCs w:val="28"/>
          <w:lang w:val="en-US"/>
        </w:rPr>
      </w:sdtEndPr>
      <w:sdtContent>
        <w:p>
          <w:pPr>
            <w:pStyle w:val="92"/>
            <w:spacing w:line="360" w:lineRule="auto"/>
            <w:jc w:val="center"/>
          </w:pPr>
          <w:bookmarkStart w:id="5" w:name="_Toc28359001"/>
          <w:bookmarkStart w:id="6" w:name="_Toc35393789"/>
          <w:r>
            <w:rPr>
              <w:lang w:val="zh-CN"/>
            </w:rPr>
            <w:t>目录</w:t>
          </w:r>
        </w:p>
        <w:p>
          <w:pPr>
            <w:pStyle w:val="23"/>
            <w:spacing w:line="360" w:lineRule="auto"/>
            <w:rPr>
              <w:rStyle w:val="36"/>
              <w:sz w:val="28"/>
              <w:szCs w:val="28"/>
            </w:rPr>
          </w:pPr>
          <w:r>
            <w:rPr>
              <w:rStyle w:val="36"/>
              <w:sz w:val="28"/>
              <w:szCs w:val="28"/>
            </w:rPr>
            <w:fldChar w:fldCharType="begin"/>
          </w:r>
          <w:r>
            <w:rPr>
              <w:rStyle w:val="36"/>
              <w:sz w:val="28"/>
              <w:szCs w:val="28"/>
            </w:rPr>
            <w:instrText xml:space="preserve"> TOC \o "1-3" \h \z \u </w:instrText>
          </w:r>
          <w:r>
            <w:rPr>
              <w:rStyle w:val="36"/>
              <w:sz w:val="28"/>
              <w:szCs w:val="28"/>
            </w:rPr>
            <w:fldChar w:fldCharType="separate"/>
          </w:r>
          <w:r>
            <w:fldChar w:fldCharType="begin"/>
          </w:r>
          <w:r>
            <w:instrText xml:space="preserve"> HYPERLINK \l "_Toc87205230" </w:instrText>
          </w:r>
          <w:r>
            <w:fldChar w:fldCharType="separate"/>
          </w:r>
          <w:r>
            <w:rPr>
              <w:rStyle w:val="36"/>
              <w:rFonts w:hint="eastAsia"/>
              <w:sz w:val="28"/>
              <w:szCs w:val="28"/>
            </w:rPr>
            <w:t>第一章</w:t>
          </w:r>
          <w:r>
            <w:rPr>
              <w:rStyle w:val="36"/>
              <w:sz w:val="28"/>
              <w:szCs w:val="28"/>
            </w:rPr>
            <w:t xml:space="preserve"> </w:t>
          </w:r>
          <w:r>
            <w:rPr>
              <w:rStyle w:val="36"/>
              <w:rFonts w:hint="eastAsia"/>
              <w:sz w:val="28"/>
              <w:szCs w:val="28"/>
            </w:rPr>
            <w:t>招标公告</w:t>
          </w:r>
          <w:r>
            <w:rPr>
              <w:rStyle w:val="36"/>
              <w:sz w:val="28"/>
              <w:szCs w:val="28"/>
            </w:rPr>
            <w:tab/>
          </w:r>
          <w:r>
            <w:rPr>
              <w:rStyle w:val="36"/>
              <w:sz w:val="28"/>
              <w:szCs w:val="28"/>
            </w:rPr>
            <w:fldChar w:fldCharType="begin"/>
          </w:r>
          <w:r>
            <w:rPr>
              <w:rStyle w:val="36"/>
              <w:sz w:val="28"/>
              <w:szCs w:val="28"/>
            </w:rPr>
            <w:instrText xml:space="preserve"> PAGEREF _Toc87205230 \h </w:instrText>
          </w:r>
          <w:r>
            <w:rPr>
              <w:rStyle w:val="36"/>
              <w:sz w:val="28"/>
              <w:szCs w:val="28"/>
            </w:rPr>
            <w:fldChar w:fldCharType="separate"/>
          </w:r>
          <w:r>
            <w:rPr>
              <w:rStyle w:val="36"/>
              <w:sz w:val="28"/>
              <w:szCs w:val="28"/>
            </w:rPr>
            <w:t>- 2 -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"_Toc87205231" </w:instrText>
          </w:r>
          <w:r>
            <w:fldChar w:fldCharType="separate"/>
          </w:r>
          <w:r>
            <w:rPr>
              <w:rStyle w:val="36"/>
              <w:rFonts w:hint="eastAsia"/>
              <w:sz w:val="28"/>
              <w:szCs w:val="28"/>
            </w:rPr>
            <w:t>第二章</w:t>
          </w:r>
          <w:r>
            <w:rPr>
              <w:rStyle w:val="36"/>
              <w:sz w:val="28"/>
              <w:szCs w:val="28"/>
            </w:rPr>
            <w:t xml:space="preserve"> </w:t>
          </w:r>
          <w:r>
            <w:rPr>
              <w:rStyle w:val="36"/>
              <w:rFonts w:hint="eastAsia"/>
              <w:sz w:val="28"/>
              <w:szCs w:val="28"/>
            </w:rPr>
            <w:t>投标人须知前附表</w:t>
          </w:r>
          <w:r>
            <w:rPr>
              <w:rStyle w:val="36"/>
              <w:sz w:val="28"/>
              <w:szCs w:val="28"/>
            </w:rPr>
            <w:tab/>
          </w:r>
          <w:r>
            <w:rPr>
              <w:rStyle w:val="36"/>
              <w:sz w:val="28"/>
              <w:szCs w:val="28"/>
            </w:rPr>
            <w:fldChar w:fldCharType="begin"/>
          </w:r>
          <w:r>
            <w:rPr>
              <w:rStyle w:val="36"/>
              <w:sz w:val="28"/>
              <w:szCs w:val="28"/>
            </w:rPr>
            <w:instrText xml:space="preserve"> PAGEREF _Toc87205231 \h </w:instrText>
          </w:r>
          <w:r>
            <w:rPr>
              <w:rStyle w:val="36"/>
              <w:sz w:val="28"/>
              <w:szCs w:val="28"/>
            </w:rPr>
            <w:fldChar w:fldCharType="separate"/>
          </w:r>
          <w:r>
            <w:rPr>
              <w:rStyle w:val="36"/>
              <w:sz w:val="28"/>
              <w:szCs w:val="28"/>
            </w:rPr>
            <w:t>- 1 -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"_Toc87205232" </w:instrText>
          </w:r>
          <w:r>
            <w:fldChar w:fldCharType="separate"/>
          </w:r>
          <w:r>
            <w:rPr>
              <w:rStyle w:val="36"/>
              <w:rFonts w:hint="eastAsia"/>
              <w:sz w:val="28"/>
              <w:szCs w:val="28"/>
            </w:rPr>
            <w:t>第三章</w:t>
          </w:r>
          <w:r>
            <w:rPr>
              <w:rStyle w:val="36"/>
              <w:sz w:val="28"/>
              <w:szCs w:val="28"/>
            </w:rPr>
            <w:t xml:space="preserve"> </w:t>
          </w:r>
          <w:r>
            <w:rPr>
              <w:rStyle w:val="36"/>
              <w:rFonts w:hint="eastAsia"/>
              <w:sz w:val="28"/>
              <w:szCs w:val="28"/>
            </w:rPr>
            <w:t>投标人须知</w:t>
          </w:r>
          <w:r>
            <w:rPr>
              <w:rStyle w:val="36"/>
              <w:sz w:val="28"/>
              <w:szCs w:val="28"/>
            </w:rPr>
            <w:tab/>
          </w:r>
          <w:r>
            <w:rPr>
              <w:rStyle w:val="36"/>
              <w:sz w:val="28"/>
              <w:szCs w:val="28"/>
            </w:rPr>
            <w:fldChar w:fldCharType="begin"/>
          </w:r>
          <w:r>
            <w:rPr>
              <w:rStyle w:val="36"/>
              <w:sz w:val="28"/>
              <w:szCs w:val="28"/>
            </w:rPr>
            <w:instrText xml:space="preserve"> PAGEREF _Toc87205232 \h </w:instrText>
          </w:r>
          <w:r>
            <w:rPr>
              <w:rStyle w:val="36"/>
              <w:sz w:val="28"/>
              <w:szCs w:val="28"/>
            </w:rPr>
            <w:fldChar w:fldCharType="separate"/>
          </w:r>
          <w:r>
            <w:rPr>
              <w:rStyle w:val="36"/>
              <w:sz w:val="28"/>
              <w:szCs w:val="28"/>
            </w:rPr>
            <w:t>- 8 -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"_Toc87205268" </w:instrText>
          </w:r>
          <w:r>
            <w:fldChar w:fldCharType="separate"/>
          </w:r>
          <w:r>
            <w:rPr>
              <w:rStyle w:val="36"/>
              <w:rFonts w:hint="eastAsia"/>
              <w:sz w:val="28"/>
              <w:szCs w:val="28"/>
            </w:rPr>
            <w:t>第四章</w:t>
          </w:r>
          <w:r>
            <w:rPr>
              <w:rStyle w:val="36"/>
              <w:sz w:val="28"/>
              <w:szCs w:val="28"/>
            </w:rPr>
            <w:t xml:space="preserve"> </w:t>
          </w:r>
          <w:r>
            <w:rPr>
              <w:rStyle w:val="36"/>
              <w:rFonts w:hint="eastAsia"/>
              <w:sz w:val="28"/>
              <w:szCs w:val="28"/>
            </w:rPr>
            <w:t>合同通用条款</w:t>
          </w:r>
          <w:r>
            <w:rPr>
              <w:rStyle w:val="36"/>
              <w:sz w:val="28"/>
              <w:szCs w:val="28"/>
            </w:rPr>
            <w:tab/>
          </w:r>
          <w:r>
            <w:rPr>
              <w:rStyle w:val="36"/>
              <w:sz w:val="28"/>
              <w:szCs w:val="28"/>
            </w:rPr>
            <w:fldChar w:fldCharType="begin"/>
          </w:r>
          <w:r>
            <w:rPr>
              <w:rStyle w:val="36"/>
              <w:sz w:val="28"/>
              <w:szCs w:val="28"/>
            </w:rPr>
            <w:instrText xml:space="preserve"> PAGEREF _Toc87205231 \h </w:instrText>
          </w:r>
          <w:r>
            <w:rPr>
              <w:rStyle w:val="36"/>
              <w:sz w:val="28"/>
              <w:szCs w:val="28"/>
            </w:rPr>
            <w:fldChar w:fldCharType="separate"/>
          </w:r>
          <w:r>
            <w:rPr>
              <w:rStyle w:val="36"/>
              <w:sz w:val="28"/>
              <w:szCs w:val="28"/>
            </w:rPr>
            <w:t>- 1 -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"_Toc87205269" </w:instrText>
          </w:r>
          <w:r>
            <w:fldChar w:fldCharType="separate"/>
          </w:r>
          <w:r>
            <w:rPr>
              <w:rStyle w:val="36"/>
              <w:rFonts w:hint="eastAsia"/>
              <w:sz w:val="28"/>
              <w:szCs w:val="28"/>
            </w:rPr>
            <w:t>第五章</w:t>
          </w:r>
          <w:r>
            <w:rPr>
              <w:rStyle w:val="36"/>
              <w:sz w:val="28"/>
              <w:szCs w:val="28"/>
            </w:rPr>
            <w:t xml:space="preserve"> </w:t>
          </w:r>
          <w:r>
            <w:rPr>
              <w:rStyle w:val="36"/>
              <w:rFonts w:hint="eastAsia"/>
              <w:sz w:val="28"/>
              <w:szCs w:val="28"/>
            </w:rPr>
            <w:t>投标文件格式</w:t>
          </w:r>
          <w:r>
            <w:rPr>
              <w:rStyle w:val="36"/>
              <w:sz w:val="28"/>
              <w:szCs w:val="28"/>
            </w:rPr>
            <w:tab/>
          </w:r>
          <w:r>
            <w:rPr>
              <w:rStyle w:val="36"/>
              <w:sz w:val="28"/>
              <w:szCs w:val="28"/>
            </w:rPr>
            <w:fldChar w:fldCharType="begin"/>
          </w:r>
          <w:r>
            <w:rPr>
              <w:rStyle w:val="36"/>
              <w:sz w:val="28"/>
              <w:szCs w:val="28"/>
            </w:rPr>
            <w:instrText xml:space="preserve"> PAGEREF _Toc87205269 \h </w:instrText>
          </w:r>
          <w:r>
            <w:rPr>
              <w:rStyle w:val="36"/>
              <w:sz w:val="28"/>
              <w:szCs w:val="28"/>
            </w:rPr>
            <w:fldChar w:fldCharType="separate"/>
          </w:r>
          <w:r>
            <w:rPr>
              <w:rStyle w:val="36"/>
              <w:sz w:val="28"/>
              <w:szCs w:val="28"/>
            </w:rPr>
            <w:t>- 2 -</w:t>
          </w:r>
          <w:r>
            <w:rPr>
              <w:rStyle w:val="36"/>
              <w:sz w:val="28"/>
              <w:szCs w:val="28"/>
            </w:rPr>
            <w:fldChar w:fldCharType="end"/>
          </w:r>
          <w:r>
            <w:rPr>
              <w:rStyle w:val="36"/>
              <w:sz w:val="28"/>
              <w:szCs w:val="28"/>
            </w:rPr>
            <w:fldChar w:fldCharType="end"/>
          </w:r>
        </w:p>
        <w:p>
          <w:pPr>
            <w:pStyle w:val="23"/>
            <w:spacing w:line="360" w:lineRule="auto"/>
            <w:rPr>
              <w:rStyle w:val="36"/>
              <w:sz w:val="28"/>
              <w:szCs w:val="28"/>
            </w:rPr>
          </w:pPr>
          <w:r>
            <w:fldChar w:fldCharType="begin"/>
          </w:r>
          <w:r>
            <w:instrText xml:space="preserve"> HYPERLINK \l "_Toc87205270" </w:instrText>
          </w:r>
          <w:r>
            <w:fldChar w:fldCharType="separate"/>
          </w:r>
          <w:r>
            <w:rPr>
              <w:rStyle w:val="36"/>
              <w:rFonts w:hint="eastAsia"/>
              <w:sz w:val="28"/>
              <w:szCs w:val="28"/>
            </w:rPr>
            <w:t>第六章</w:t>
          </w:r>
          <w:r>
            <w:rPr>
              <w:rStyle w:val="36"/>
              <w:sz w:val="28"/>
              <w:szCs w:val="28"/>
            </w:rPr>
            <w:t xml:space="preserve"> </w:t>
          </w:r>
          <w:r>
            <w:rPr>
              <w:rStyle w:val="36"/>
              <w:rFonts w:hint="eastAsia"/>
              <w:sz w:val="28"/>
              <w:szCs w:val="28"/>
            </w:rPr>
            <w:t>资格审查与评分标准</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_Toc87205270 \h </w:instrText>
          </w:r>
          <w:r>
            <w:rPr>
              <w:rStyle w:val="36"/>
              <w:sz w:val="28"/>
              <w:szCs w:val="28"/>
            </w:rPr>
            <w:fldChar w:fldCharType="separate"/>
          </w:r>
          <w:r>
            <w:rPr>
              <w:rStyle w:val="36"/>
              <w:sz w:val="28"/>
              <w:szCs w:val="28"/>
            </w:rPr>
            <w:t>14</w:t>
          </w:r>
          <w:r>
            <w:rPr>
              <w:rStyle w:val="36"/>
              <w:sz w:val="28"/>
              <w:szCs w:val="28"/>
            </w:rPr>
            <w:fldChar w:fldCharType="end"/>
          </w:r>
          <w:r>
            <w:rPr>
              <w:rStyle w:val="36"/>
              <w:sz w:val="28"/>
              <w:szCs w:val="28"/>
            </w:rPr>
            <w:fldChar w:fldCharType="end"/>
          </w:r>
          <w:r>
            <w:rPr>
              <w:rStyle w:val="36"/>
              <w:sz w:val="28"/>
              <w:szCs w:val="28"/>
            </w:rPr>
            <w:t>-</w:t>
          </w:r>
        </w:p>
        <w:p>
          <w:pPr>
            <w:pStyle w:val="23"/>
            <w:spacing w:line="360" w:lineRule="auto"/>
            <w:rPr>
              <w:rStyle w:val="36"/>
              <w:sz w:val="28"/>
              <w:szCs w:val="28"/>
            </w:rPr>
          </w:pPr>
          <w:r>
            <w:fldChar w:fldCharType="begin"/>
          </w:r>
          <w:r>
            <w:instrText xml:space="preserve"> HYPERLINK \l "_Toc87205271" </w:instrText>
          </w:r>
          <w:r>
            <w:fldChar w:fldCharType="separate"/>
          </w:r>
          <w:r>
            <w:rPr>
              <w:rStyle w:val="36"/>
              <w:rFonts w:hint="eastAsia"/>
              <w:sz w:val="28"/>
              <w:szCs w:val="28"/>
            </w:rPr>
            <w:t>第七章</w:t>
          </w:r>
          <w:r>
            <w:rPr>
              <w:rStyle w:val="36"/>
              <w:sz w:val="28"/>
              <w:szCs w:val="28"/>
            </w:rPr>
            <w:t xml:space="preserve"> </w:t>
          </w:r>
          <w:r>
            <w:rPr>
              <w:rStyle w:val="36"/>
              <w:rFonts w:hint="eastAsia"/>
              <w:sz w:val="28"/>
              <w:szCs w:val="28"/>
            </w:rPr>
            <w:t>采购需求一览表</w:t>
          </w:r>
          <w:r>
            <w:rPr>
              <w:rStyle w:val="36"/>
              <w:sz w:val="28"/>
              <w:szCs w:val="28"/>
            </w:rPr>
            <w:tab/>
          </w:r>
          <w:r>
            <w:rPr>
              <w:rStyle w:val="36"/>
              <w:sz w:val="28"/>
              <w:szCs w:val="28"/>
            </w:rPr>
            <w:t>-</w:t>
          </w:r>
          <w:r>
            <w:rPr>
              <w:rStyle w:val="36"/>
              <w:sz w:val="28"/>
              <w:szCs w:val="28"/>
            </w:rPr>
            <w:fldChar w:fldCharType="begin"/>
          </w:r>
          <w:r>
            <w:rPr>
              <w:rStyle w:val="36"/>
              <w:sz w:val="28"/>
              <w:szCs w:val="28"/>
            </w:rPr>
            <w:instrText xml:space="preserve"> PAGEREF _Toc87205271 \h </w:instrText>
          </w:r>
          <w:r>
            <w:rPr>
              <w:rStyle w:val="36"/>
              <w:sz w:val="28"/>
              <w:szCs w:val="28"/>
            </w:rPr>
            <w:fldChar w:fldCharType="separate"/>
          </w:r>
          <w:r>
            <w:rPr>
              <w:rStyle w:val="36"/>
              <w:sz w:val="28"/>
              <w:szCs w:val="28"/>
            </w:rPr>
            <w:t>17</w:t>
          </w:r>
          <w:r>
            <w:rPr>
              <w:rStyle w:val="36"/>
              <w:sz w:val="28"/>
              <w:szCs w:val="28"/>
            </w:rPr>
            <w:fldChar w:fldCharType="end"/>
          </w:r>
          <w:r>
            <w:rPr>
              <w:rStyle w:val="36"/>
              <w:sz w:val="28"/>
              <w:szCs w:val="28"/>
            </w:rPr>
            <w:fldChar w:fldCharType="end"/>
          </w:r>
          <w:r>
            <w:rPr>
              <w:rStyle w:val="36"/>
              <w:sz w:val="28"/>
              <w:szCs w:val="28"/>
            </w:rPr>
            <w:t>-</w:t>
          </w:r>
          <w:bookmarkStart w:id="176" w:name="_GoBack"/>
          <w:bookmarkEnd w:id="176"/>
        </w:p>
        <w:p>
          <w:pPr>
            <w:pStyle w:val="23"/>
            <w:spacing w:line="360" w:lineRule="auto"/>
            <w:rPr>
              <w:rStyle w:val="36"/>
              <w:sz w:val="28"/>
              <w:szCs w:val="28"/>
            </w:rPr>
          </w:pPr>
          <w:r>
            <w:rPr>
              <w:rStyle w:val="36"/>
              <w:sz w:val="28"/>
              <w:szCs w:val="28"/>
            </w:rPr>
            <w:fldChar w:fldCharType="end"/>
          </w:r>
        </w:p>
      </w:sdtContent>
    </w:sdt>
    <w:p>
      <w:pPr>
        <w:pStyle w:val="3"/>
        <w:jc w:val="center"/>
      </w:pPr>
      <w:r>
        <w:rPr>
          <w:rFonts w:hint="eastAsia"/>
        </w:rPr>
        <w:br w:type="page"/>
      </w:r>
      <w:bookmarkEnd w:id="5"/>
      <w:bookmarkEnd w:id="6"/>
      <w:bookmarkStart w:id="7" w:name="_Toc87205230"/>
      <w:bookmarkStart w:id="8" w:name="_Toc30204"/>
      <w:r>
        <w:rPr>
          <w:rFonts w:hint="eastAsia"/>
        </w:rPr>
        <w:t>第一章 招标公告</w:t>
      </w:r>
      <w:bookmarkEnd w:id="7"/>
      <w:bookmarkEnd w:id="8"/>
    </w:p>
    <w:p>
      <w:pPr>
        <w:spacing w:line="360" w:lineRule="auto"/>
        <w:rPr>
          <w:rFonts w:ascii="仿宋" w:hAnsi="仿宋" w:eastAsia="仿宋" w:cs="仿宋"/>
          <w:sz w:val="24"/>
        </w:rPr>
      </w:pPr>
      <w:r>
        <w:rPr>
          <w:rFonts w:hint="eastAsia" w:ascii="仿宋" w:hAnsi="仿宋" w:eastAsia="仿宋" w:cs="仿宋"/>
          <w:sz w:val="24"/>
        </w:rPr>
        <w:t>项目概况</w:t>
      </w:r>
    </w:p>
    <w:p>
      <w:pPr>
        <w:spacing w:line="360" w:lineRule="auto"/>
        <w:rPr>
          <w:rFonts w:ascii="仿宋" w:hAnsi="仿宋" w:eastAsia="仿宋" w:cs="仿宋"/>
          <w:sz w:val="24"/>
        </w:rPr>
      </w:pPr>
      <w:r>
        <w:rPr>
          <w:rFonts w:hint="eastAsia" w:ascii="仿宋" w:hAnsi="仿宋" w:eastAsia="仿宋" w:cs="仿宋"/>
          <w:sz w:val="24"/>
        </w:rPr>
        <w:t xml:space="preserve">  招标项目的潜在投标人应在（</w:t>
      </w:r>
      <w:r>
        <w:rPr>
          <w:rFonts w:hint="eastAsia" w:ascii="仿宋" w:hAnsi="仿宋" w:eastAsia="仿宋" w:cs="仿宋"/>
          <w:sz w:val="24"/>
          <w:lang w:val="en-US" w:eastAsia="zh-CN"/>
        </w:rPr>
        <w:t>西藏康城肿瘤医院官网</w:t>
      </w:r>
      <w:r>
        <w:rPr>
          <w:rFonts w:hint="eastAsia" w:ascii="仿宋" w:hAnsi="仿宋" w:eastAsia="仿宋" w:cs="仿宋"/>
          <w:sz w:val="24"/>
        </w:rPr>
        <w:t>）</w:t>
      </w:r>
      <w:r>
        <w:rPr>
          <w:rFonts w:hint="eastAsia" w:ascii="仿宋" w:hAnsi="仿宋" w:eastAsia="仿宋" w:cs="仿宋"/>
          <w:sz w:val="24"/>
          <w:lang w:val="en-US" w:eastAsia="zh-CN"/>
        </w:rPr>
        <w:t>自行下载</w:t>
      </w:r>
      <w:r>
        <w:rPr>
          <w:rFonts w:hint="eastAsia" w:ascii="仿宋" w:hAnsi="仿宋" w:eastAsia="仿宋" w:cs="仿宋"/>
          <w:sz w:val="24"/>
        </w:rPr>
        <w:t>招标文件，于 2021年 1</w:t>
      </w:r>
      <w:r>
        <w:rPr>
          <w:rFonts w:hint="eastAsia" w:ascii="仿宋" w:hAnsi="仿宋" w:eastAsia="仿宋" w:cs="仿宋"/>
          <w:sz w:val="24"/>
          <w:lang w:val="en-US" w:eastAsia="zh-CN"/>
        </w:rPr>
        <w:t>2</w:t>
      </w:r>
      <w:r>
        <w:rPr>
          <w:rFonts w:hint="eastAsia" w:ascii="仿宋" w:hAnsi="仿宋" w:eastAsia="仿宋" w:cs="仿宋"/>
          <w:sz w:val="24"/>
        </w:rPr>
        <w:t xml:space="preserve"> 月</w:t>
      </w:r>
      <w:r>
        <w:rPr>
          <w:rFonts w:hint="eastAsia" w:ascii="仿宋" w:hAnsi="仿宋" w:eastAsia="仿宋" w:cs="仿宋"/>
          <w:sz w:val="24"/>
          <w:lang w:val="en-US" w:eastAsia="zh-CN"/>
        </w:rPr>
        <w:t>2</w:t>
      </w:r>
      <w:r>
        <w:rPr>
          <w:rFonts w:hint="eastAsia" w:ascii="仿宋" w:hAnsi="仿宋" w:eastAsia="仿宋" w:cs="仿宋"/>
          <w:sz w:val="24"/>
        </w:rPr>
        <w:t>日15点30分（北京时间）前递交投标文件。</w:t>
      </w:r>
      <w:bookmarkStart w:id="9" w:name="_Toc35393621"/>
      <w:bookmarkStart w:id="10" w:name="_Toc28359002"/>
      <w:bookmarkStart w:id="11" w:name="_Toc28359079"/>
      <w:bookmarkStart w:id="12" w:name="_Toc35393790"/>
      <w:bookmarkStart w:id="13" w:name="_Hlk24379207"/>
    </w:p>
    <w:p>
      <w:pPr>
        <w:spacing w:line="360" w:lineRule="auto"/>
        <w:rPr>
          <w:rFonts w:ascii="仿宋" w:hAnsi="仿宋" w:eastAsia="仿宋" w:cs="仿宋"/>
          <w:sz w:val="24"/>
        </w:rPr>
      </w:pPr>
      <w:r>
        <w:rPr>
          <w:rFonts w:hint="eastAsia" w:ascii="仿宋" w:hAnsi="仿宋" w:eastAsia="仿宋" w:cs="仿宋"/>
          <w:sz w:val="24"/>
        </w:rPr>
        <w:t>一、项目基本情况</w:t>
      </w:r>
      <w:bookmarkEnd w:id="9"/>
      <w:bookmarkEnd w:id="10"/>
      <w:bookmarkEnd w:id="11"/>
      <w:bookmarkEnd w:id="12"/>
    </w:p>
    <w:p>
      <w:pPr>
        <w:spacing w:line="360" w:lineRule="auto"/>
        <w:rPr>
          <w:rFonts w:hint="default" w:ascii="仿宋" w:hAnsi="仿宋" w:eastAsia="仿宋" w:cs="仿宋"/>
          <w:sz w:val="24"/>
          <w:lang w:val="en-US" w:eastAsia="zh-CN"/>
        </w:rPr>
      </w:pPr>
      <w:r>
        <w:rPr>
          <w:rFonts w:hint="eastAsia" w:ascii="仿宋" w:hAnsi="仿宋" w:eastAsia="仿宋" w:cs="仿宋"/>
          <w:sz w:val="24"/>
        </w:rPr>
        <w:t>项目编号：</w:t>
      </w:r>
      <w:r>
        <w:rPr>
          <w:rFonts w:hint="eastAsia" w:ascii="仿宋" w:hAnsi="仿宋" w:eastAsia="仿宋" w:cs="仿宋"/>
          <w:sz w:val="24"/>
          <w:lang w:val="en-US" w:eastAsia="zh-CN"/>
        </w:rPr>
        <w:t>XXKCZLYY210002</w:t>
      </w:r>
    </w:p>
    <w:p>
      <w:pPr>
        <w:spacing w:line="360" w:lineRule="auto"/>
        <w:rPr>
          <w:rFonts w:hint="eastAsia" w:ascii="仿宋" w:hAnsi="仿宋" w:eastAsia="仿宋" w:cs="仿宋"/>
          <w:sz w:val="24"/>
          <w:lang w:val="en-US" w:eastAsia="zh-CN"/>
        </w:rPr>
      </w:pPr>
      <w:r>
        <w:rPr>
          <w:rFonts w:hint="eastAsia" w:ascii="仿宋" w:hAnsi="仿宋" w:eastAsia="仿宋" w:cs="仿宋"/>
          <w:sz w:val="24"/>
        </w:rPr>
        <w:t>项目名称：</w:t>
      </w:r>
      <w:bookmarkEnd w:id="13"/>
      <w:r>
        <w:rPr>
          <w:rFonts w:hint="eastAsia" w:ascii="仿宋" w:hAnsi="仿宋" w:eastAsia="仿宋" w:cs="仿宋"/>
          <w:sz w:val="24"/>
          <w:lang w:val="en-US" w:eastAsia="zh-CN"/>
        </w:rPr>
        <w:t>西藏康城肿瘤医院医用耗材采购项目</w:t>
      </w:r>
    </w:p>
    <w:p>
      <w:pPr>
        <w:spacing w:line="360" w:lineRule="auto"/>
        <w:rPr>
          <w:rFonts w:hint="default" w:ascii="仿宋" w:hAnsi="仿宋" w:eastAsia="仿宋" w:cs="仿宋"/>
          <w:sz w:val="24"/>
          <w:highlight w:val="yellow"/>
          <w:lang w:val="en-US"/>
        </w:rPr>
      </w:pPr>
      <w:r>
        <w:rPr>
          <w:rFonts w:hint="eastAsia" w:ascii="仿宋" w:hAnsi="仿宋" w:eastAsia="仿宋" w:cs="仿宋"/>
          <w:sz w:val="24"/>
          <w:lang w:val="en-US" w:eastAsia="zh-CN"/>
        </w:rPr>
        <w:t>招标类型</w:t>
      </w:r>
      <w:r>
        <w:rPr>
          <w:rFonts w:hint="eastAsia" w:ascii="仿宋" w:hAnsi="仿宋" w:eastAsia="仿宋" w:cs="仿宋"/>
          <w:sz w:val="24"/>
        </w:rPr>
        <w:t>：</w:t>
      </w:r>
      <w:r>
        <w:rPr>
          <w:rFonts w:hint="eastAsia" w:ascii="仿宋" w:hAnsi="仿宋" w:eastAsia="仿宋" w:cs="仿宋"/>
          <w:sz w:val="24"/>
          <w:lang w:val="en-US" w:eastAsia="zh-CN"/>
        </w:rPr>
        <w:t>单品价格招标(不得高于集采价和采购挂网价)</w:t>
      </w:r>
    </w:p>
    <w:p>
      <w:pPr>
        <w:spacing w:line="360" w:lineRule="auto"/>
        <w:rPr>
          <w:rFonts w:ascii="仿宋" w:hAnsi="仿宋" w:eastAsia="仿宋" w:cs="仿宋"/>
          <w:sz w:val="24"/>
        </w:rPr>
      </w:pPr>
      <w:r>
        <w:rPr>
          <w:rFonts w:hint="eastAsia" w:ascii="仿宋" w:hAnsi="仿宋" w:eastAsia="仿宋" w:cs="仿宋"/>
          <w:sz w:val="24"/>
        </w:rPr>
        <w:t>招标方式：公开招标</w:t>
      </w:r>
    </w:p>
    <w:p>
      <w:pPr>
        <w:spacing w:line="360" w:lineRule="auto"/>
        <w:rPr>
          <w:rFonts w:ascii="仿宋" w:hAnsi="仿宋" w:eastAsia="仿宋" w:cs="仿宋"/>
          <w:sz w:val="24"/>
          <w:highlight w:val="yellow"/>
        </w:rPr>
      </w:pPr>
      <w:r>
        <w:rPr>
          <w:rFonts w:hint="eastAsia" w:ascii="仿宋" w:hAnsi="仿宋" w:eastAsia="仿宋" w:cs="仿宋"/>
          <w:sz w:val="24"/>
        </w:rPr>
        <w:t>采购需求：</w:t>
      </w:r>
      <w:r>
        <w:rPr>
          <w:rFonts w:hint="eastAsia" w:ascii="仿宋" w:hAnsi="仿宋" w:eastAsia="仿宋" w:cs="仿宋"/>
          <w:sz w:val="24"/>
          <w:lang w:val="en-US" w:eastAsia="zh-CN"/>
        </w:rPr>
        <w:t>肿瘤常用医用耗材（具体详见采购清单）</w:t>
      </w:r>
    </w:p>
    <w:p>
      <w:pPr>
        <w:spacing w:line="360" w:lineRule="auto"/>
        <w:rPr>
          <w:rFonts w:ascii="仿宋" w:hAnsi="仿宋" w:eastAsia="仿宋" w:cs="仿宋"/>
          <w:sz w:val="24"/>
        </w:rPr>
      </w:pPr>
      <w:r>
        <w:rPr>
          <w:rFonts w:hint="eastAsia" w:ascii="仿宋" w:hAnsi="仿宋" w:eastAsia="仿宋" w:cs="仿宋"/>
          <w:sz w:val="24"/>
        </w:rPr>
        <w:t>合同履约期限：详见招标文件</w:t>
      </w:r>
    </w:p>
    <w:p>
      <w:pPr>
        <w:spacing w:line="360" w:lineRule="auto"/>
        <w:rPr>
          <w:rFonts w:ascii="仿宋" w:hAnsi="仿宋" w:eastAsia="仿宋" w:cs="仿宋"/>
          <w:sz w:val="24"/>
        </w:rPr>
      </w:pPr>
      <w:bookmarkStart w:id="14" w:name="_Toc28359003"/>
      <w:bookmarkStart w:id="15" w:name="_Toc35393791"/>
      <w:bookmarkStart w:id="16" w:name="_Toc28359080"/>
      <w:bookmarkStart w:id="17" w:name="_Toc35393622"/>
      <w:r>
        <w:rPr>
          <w:rFonts w:hint="eastAsia" w:ascii="仿宋" w:hAnsi="仿宋" w:eastAsia="仿宋" w:cs="仿宋"/>
          <w:sz w:val="24"/>
        </w:rPr>
        <w:t>二、申请人的资格要求：</w:t>
      </w:r>
      <w:bookmarkEnd w:id="14"/>
      <w:bookmarkEnd w:id="15"/>
      <w:bookmarkEnd w:id="16"/>
      <w:bookmarkEnd w:id="17"/>
    </w:p>
    <w:p>
      <w:pPr>
        <w:autoSpaceDE w:val="0"/>
        <w:autoSpaceDN w:val="0"/>
        <w:snapToGrid w:val="0"/>
        <w:spacing w:line="360" w:lineRule="auto"/>
        <w:rPr>
          <w:rFonts w:ascii="仿宋" w:hAnsi="仿宋" w:eastAsia="仿宋" w:cs="仿宋"/>
          <w:sz w:val="24"/>
        </w:rPr>
      </w:pPr>
      <w:bookmarkStart w:id="18" w:name="_Toc35393623"/>
      <w:bookmarkStart w:id="19" w:name="_Toc28359081"/>
      <w:bookmarkStart w:id="20" w:name="_Toc35393792"/>
      <w:bookmarkStart w:id="21" w:name="_Toc28359004"/>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2.拟参加本项目的潜在供应商须具备有效的营业执照，且经营范围包含本次采购内容。</w:t>
      </w:r>
    </w:p>
    <w:p>
      <w:pPr>
        <w:spacing w:line="360" w:lineRule="auto"/>
        <w:rPr>
          <w:rFonts w:ascii="仿宋" w:hAnsi="仿宋" w:eastAsia="仿宋" w:cs="仿宋"/>
          <w:sz w:val="24"/>
        </w:rPr>
      </w:pPr>
      <w:r>
        <w:rPr>
          <w:rFonts w:hint="eastAsia" w:ascii="仿宋" w:hAnsi="仿宋" w:eastAsia="仿宋" w:cs="仿宋"/>
          <w:sz w:val="24"/>
        </w:rPr>
        <w:t>三、获取招标文件</w:t>
      </w:r>
      <w:bookmarkEnd w:id="18"/>
      <w:bookmarkEnd w:id="19"/>
      <w:bookmarkEnd w:id="20"/>
      <w:bookmarkEnd w:id="21"/>
    </w:p>
    <w:p>
      <w:pPr>
        <w:spacing w:line="360" w:lineRule="auto"/>
        <w:rPr>
          <w:rFonts w:hint="eastAsia" w:ascii="仿宋" w:hAnsi="仿宋" w:eastAsia="仿宋" w:cs="仿宋"/>
          <w:sz w:val="24"/>
          <w:lang w:eastAsia="zh-CN"/>
        </w:rPr>
      </w:pPr>
      <w:r>
        <w:rPr>
          <w:rFonts w:hint="eastAsia" w:ascii="仿宋" w:hAnsi="仿宋" w:eastAsia="仿宋" w:cs="仿宋"/>
          <w:sz w:val="24"/>
        </w:rPr>
        <w:t>时间：2021年11月</w:t>
      </w:r>
      <w:r>
        <w:rPr>
          <w:rFonts w:hint="eastAsia" w:ascii="仿宋" w:hAnsi="仿宋" w:eastAsia="仿宋" w:cs="仿宋"/>
          <w:sz w:val="24"/>
          <w:lang w:val="en-US" w:eastAsia="zh-CN"/>
        </w:rPr>
        <w:t>22</w:t>
      </w:r>
      <w:r>
        <w:rPr>
          <w:rFonts w:hint="eastAsia" w:ascii="仿宋" w:hAnsi="仿宋" w:eastAsia="仿宋" w:cs="仿宋"/>
          <w:sz w:val="24"/>
        </w:rPr>
        <w:t>日至2021年</w:t>
      </w:r>
      <w:r>
        <w:rPr>
          <w:rFonts w:hint="eastAsia" w:ascii="仿宋" w:hAnsi="仿宋" w:eastAsia="仿宋" w:cs="仿宋"/>
          <w:sz w:val="24"/>
          <w:lang w:val="en-US" w:eastAsia="zh-CN"/>
        </w:rPr>
        <w:t>12</w:t>
      </w:r>
      <w:r>
        <w:rPr>
          <w:rFonts w:hint="eastAsia" w:ascii="仿宋" w:hAnsi="仿宋" w:eastAsia="仿宋" w:cs="仿宋"/>
          <w:sz w:val="24"/>
        </w:rPr>
        <w:t>月</w:t>
      </w:r>
      <w:r>
        <w:rPr>
          <w:rFonts w:hint="eastAsia" w:ascii="仿宋" w:hAnsi="仿宋" w:eastAsia="仿宋" w:cs="仿宋"/>
          <w:sz w:val="24"/>
          <w:lang w:val="en-US" w:eastAsia="zh-CN"/>
        </w:rPr>
        <w:t>1</w:t>
      </w:r>
      <w:r>
        <w:rPr>
          <w:rFonts w:hint="eastAsia" w:ascii="仿宋" w:hAnsi="仿宋" w:eastAsia="仿宋" w:cs="仿宋"/>
          <w:sz w:val="24"/>
        </w:rPr>
        <w:t>日</w:t>
      </w:r>
      <w:r>
        <w:rPr>
          <w:rFonts w:hint="eastAsia" w:ascii="仿宋" w:hAnsi="仿宋" w:eastAsia="仿宋" w:cs="仿宋"/>
          <w:sz w:val="24"/>
          <w:lang w:eastAsia="zh-CN"/>
        </w:rPr>
        <w:t>。</w:t>
      </w:r>
    </w:p>
    <w:p>
      <w:pPr>
        <w:spacing w:line="360" w:lineRule="auto"/>
        <w:rPr>
          <w:rFonts w:ascii="仿宋" w:hAnsi="仿宋" w:eastAsia="仿宋" w:cs="仿宋"/>
          <w:sz w:val="24"/>
        </w:rPr>
      </w:pPr>
      <w:r>
        <w:rPr>
          <w:rFonts w:hint="eastAsia" w:ascii="仿宋" w:hAnsi="仿宋" w:eastAsia="仿宋" w:cs="仿宋"/>
          <w:sz w:val="24"/>
        </w:rPr>
        <w:t>地点：</w:t>
      </w:r>
      <w:r>
        <w:rPr>
          <w:rFonts w:hint="eastAsia" w:ascii="仿宋" w:hAnsi="仿宋" w:eastAsia="仿宋" w:cs="仿宋"/>
          <w:sz w:val="24"/>
          <w:lang w:val="en-US" w:eastAsia="zh-CN"/>
        </w:rPr>
        <w:t>西藏康城肿瘤医院官网自行下载</w:t>
      </w:r>
      <w:r>
        <w:rPr>
          <w:rFonts w:hint="eastAsia" w:ascii="仿宋" w:hAnsi="仿宋" w:eastAsia="仿宋" w:cs="仿宋"/>
          <w:sz w:val="24"/>
        </w:rPr>
        <w:t>（</w:t>
      </w:r>
      <w:r>
        <w:rPr>
          <w:rFonts w:hint="eastAsia" w:ascii="仿宋" w:hAnsi="仿宋" w:eastAsia="仿宋" w:cs="仿宋"/>
          <w:sz w:val="24"/>
          <w:lang w:val="en-US" w:eastAsia="zh-CN"/>
        </w:rPr>
        <w:t>西藏康城肿瘤医院官网采买信息</w:t>
      </w:r>
      <w:r>
        <w:rPr>
          <w:rFonts w:hint="eastAsia" w:ascii="仿宋" w:hAnsi="仿宋" w:eastAsia="仿宋" w:cs="仿宋"/>
          <w:sz w:val="24"/>
        </w:rPr>
        <w:t>）</w:t>
      </w:r>
    </w:p>
    <w:p>
      <w:pPr>
        <w:spacing w:line="360" w:lineRule="auto"/>
        <w:rPr>
          <w:rFonts w:ascii="仿宋" w:hAnsi="仿宋" w:eastAsia="仿宋" w:cs="仿宋"/>
          <w:sz w:val="24"/>
        </w:rPr>
      </w:pPr>
      <w:bookmarkStart w:id="22" w:name="_Toc28359082"/>
      <w:bookmarkStart w:id="23" w:name="_Toc28359005"/>
      <w:bookmarkStart w:id="24" w:name="_Toc35393624"/>
      <w:bookmarkStart w:id="25" w:name="_Toc35393793"/>
      <w:r>
        <w:rPr>
          <w:rFonts w:hint="eastAsia" w:ascii="仿宋" w:hAnsi="仿宋" w:eastAsia="仿宋" w:cs="仿宋"/>
          <w:sz w:val="24"/>
        </w:rPr>
        <w:t>四、提交投标文件</w:t>
      </w:r>
      <w:bookmarkEnd w:id="22"/>
      <w:bookmarkEnd w:id="23"/>
      <w:r>
        <w:rPr>
          <w:rFonts w:hint="eastAsia" w:ascii="仿宋" w:hAnsi="仿宋" w:eastAsia="仿宋" w:cs="仿宋"/>
          <w:sz w:val="24"/>
        </w:rPr>
        <w:t>截止时间、开标时间和地点</w:t>
      </w:r>
      <w:bookmarkEnd w:id="24"/>
      <w:bookmarkEnd w:id="25"/>
    </w:p>
    <w:p>
      <w:pPr>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于2021年 12月 2日15点30分（北京时间）前递交投标文件。</w:t>
      </w:r>
    </w:p>
    <w:p>
      <w:pPr>
        <w:spacing w:line="360" w:lineRule="auto"/>
        <w:rPr>
          <w:rFonts w:ascii="仿宋" w:hAnsi="仿宋" w:eastAsia="仿宋" w:cs="仿宋"/>
          <w:sz w:val="24"/>
        </w:rPr>
      </w:pPr>
      <w:r>
        <w:rPr>
          <w:rFonts w:hint="eastAsia" w:ascii="仿宋" w:hAnsi="仿宋" w:eastAsia="仿宋" w:cs="仿宋"/>
          <w:sz w:val="24"/>
          <w:lang w:val="en-US" w:eastAsia="zh-CN"/>
        </w:rPr>
        <w:t>地点：西藏康城肿瘤医院行政楼一楼会议室（拉萨市城关区教育城勤学路1号）</w:t>
      </w:r>
    </w:p>
    <w:p>
      <w:pPr>
        <w:spacing w:line="360" w:lineRule="auto"/>
        <w:rPr>
          <w:rFonts w:ascii="仿宋" w:hAnsi="仿宋" w:eastAsia="仿宋" w:cs="仿宋"/>
          <w:sz w:val="24"/>
        </w:rPr>
      </w:pPr>
      <w:bookmarkStart w:id="26" w:name="_Toc35393795"/>
      <w:bookmarkStart w:id="27" w:name="_Toc35393626"/>
    </w:p>
    <w:p>
      <w:pPr>
        <w:spacing w:line="360" w:lineRule="auto"/>
        <w:rPr>
          <w:rFonts w:ascii="仿宋" w:hAnsi="仿宋" w:eastAsia="仿宋" w:cs="仿宋"/>
          <w:sz w:val="24"/>
        </w:rPr>
      </w:pPr>
      <w:r>
        <w:rPr>
          <w:rFonts w:hint="eastAsia" w:ascii="仿宋" w:hAnsi="仿宋" w:eastAsia="仿宋" w:cs="仿宋"/>
          <w:sz w:val="24"/>
          <w:lang w:val="en-US" w:eastAsia="zh-CN"/>
        </w:rPr>
        <w:t>五</w:t>
      </w:r>
      <w:r>
        <w:rPr>
          <w:rFonts w:hint="eastAsia" w:ascii="仿宋" w:hAnsi="仿宋" w:eastAsia="仿宋" w:cs="仿宋"/>
          <w:sz w:val="24"/>
        </w:rPr>
        <w:t>、其他补充事宜</w:t>
      </w:r>
      <w:bookmarkEnd w:id="26"/>
      <w:bookmarkEnd w:id="27"/>
    </w:p>
    <w:p>
      <w:pPr>
        <w:spacing w:line="360" w:lineRule="auto"/>
        <w:rPr>
          <w:rFonts w:ascii="仿宋" w:hAnsi="仿宋" w:eastAsia="仿宋" w:cs="仿宋"/>
          <w:sz w:val="24"/>
        </w:rPr>
      </w:pPr>
      <w:bookmarkStart w:id="28" w:name="_Toc28359008"/>
      <w:bookmarkStart w:id="29" w:name="_Toc28359085"/>
      <w:bookmarkStart w:id="30" w:name="_Toc35393627"/>
      <w:bookmarkStart w:id="31" w:name="_Toc35393796"/>
      <w:r>
        <w:rPr>
          <w:rFonts w:hint="eastAsia" w:ascii="仿宋" w:hAnsi="仿宋" w:eastAsia="仿宋" w:cs="仿宋"/>
          <w:sz w:val="24"/>
        </w:rPr>
        <w:t>1.落实政府采购政策需满足的资格要求：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1）执行《中华人民共和国政府采购法》、《中华人民共和国政府采购法实施条例》等有关法律、法规和和政策</w:t>
      </w:r>
      <w:r>
        <w:rPr>
          <w:rFonts w:hint="eastAsia" w:ascii="仿宋" w:hAnsi="仿宋" w:eastAsia="仿宋" w:cs="仿宋"/>
          <w:sz w:val="24"/>
          <w:lang w:eastAsia="zh-CN"/>
        </w:rPr>
        <w:t>。</w:t>
      </w:r>
      <w:r>
        <w:rPr>
          <w:rFonts w:hint="eastAsia" w:ascii="仿宋" w:hAnsi="仿宋" w:eastAsia="仿宋" w:cs="仿宋"/>
          <w:sz w:val="24"/>
        </w:rPr>
        <w:t xml:space="preserve"> </w:t>
      </w:r>
    </w:p>
    <w:p>
      <w:pPr>
        <w:spacing w:line="360" w:lineRule="auto"/>
        <w:rPr>
          <w:rFonts w:hint="eastAsia" w:ascii="仿宋" w:hAnsi="仿宋" w:eastAsia="仿宋" w:cs="仿宋"/>
          <w:sz w:val="24"/>
        </w:rPr>
      </w:pPr>
      <w:r>
        <w:rPr>
          <w:rFonts w:hint="eastAsia" w:ascii="仿宋" w:hAnsi="仿宋" w:eastAsia="仿宋" w:cs="仿宋"/>
          <w:sz w:val="24"/>
        </w:rPr>
        <w:t>2）执行《政府采购促进中小企业发展暂行办法》、《关于政府采购支持监狱企业发展有关问题的通知》和《关于促进残疾人就业政府采购政策的通知》</w:t>
      </w:r>
      <w:r>
        <w:rPr>
          <w:rFonts w:hint="eastAsia" w:ascii="仿宋" w:hAnsi="仿宋" w:eastAsia="仿宋" w:cs="仿宋"/>
          <w:sz w:val="24"/>
          <w:lang w:eastAsia="zh-CN"/>
        </w:rPr>
        <w:t>。</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.单位负责人为同一人或者存在直接控股、管理关系的不同供应商，不得同时参加本采购项目投标。</w:t>
      </w:r>
    </w:p>
    <w:p>
      <w:pPr>
        <w:pStyle w:val="2"/>
      </w:pPr>
    </w:p>
    <w:p>
      <w:pPr>
        <w:spacing w:line="360" w:lineRule="auto"/>
        <w:rPr>
          <w:rFonts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、对本次招标提出询问，请按以下方式联系。</w:t>
      </w:r>
      <w:bookmarkEnd w:id="28"/>
      <w:bookmarkEnd w:id="29"/>
      <w:bookmarkEnd w:id="30"/>
      <w:bookmarkEnd w:id="31"/>
    </w:p>
    <w:p>
      <w:pPr>
        <w:spacing w:line="360" w:lineRule="auto"/>
        <w:rPr>
          <w:rFonts w:ascii="仿宋" w:hAnsi="仿宋" w:eastAsia="仿宋" w:cs="仿宋"/>
          <w:sz w:val="24"/>
        </w:rPr>
      </w:pPr>
      <w:r>
        <w:rPr>
          <w:rFonts w:hint="eastAsia" w:ascii="仿宋" w:hAnsi="仿宋" w:eastAsia="仿宋" w:cs="仿宋"/>
          <w:sz w:val="24"/>
        </w:rPr>
        <w:t>1.采购人信息</w:t>
      </w:r>
    </w:p>
    <w:p>
      <w:pPr>
        <w:spacing w:line="360" w:lineRule="auto"/>
        <w:rPr>
          <w:rFonts w:hint="eastAsia" w:ascii="仿宋" w:hAnsi="仿宋" w:eastAsia="仿宋" w:cs="仿宋"/>
          <w:sz w:val="24"/>
          <w:lang w:val="en-US" w:eastAsia="zh-CN"/>
        </w:rPr>
      </w:pPr>
      <w:r>
        <w:rPr>
          <w:rFonts w:hint="eastAsia" w:ascii="仿宋" w:hAnsi="仿宋" w:eastAsia="仿宋" w:cs="仿宋"/>
          <w:sz w:val="24"/>
        </w:rPr>
        <w:t>名    称：</w:t>
      </w:r>
      <w:r>
        <w:rPr>
          <w:rFonts w:hint="eastAsia" w:ascii="仿宋" w:hAnsi="仿宋" w:eastAsia="仿宋" w:cs="仿宋"/>
          <w:sz w:val="24"/>
          <w:lang w:val="en-US" w:eastAsia="zh-CN"/>
        </w:rPr>
        <w:t>西藏康城医疗管理有限公司</w:t>
      </w:r>
    </w:p>
    <w:p>
      <w:pPr>
        <w:spacing w:line="360" w:lineRule="auto"/>
        <w:rPr>
          <w:rFonts w:ascii="仿宋" w:hAnsi="仿宋" w:eastAsia="仿宋" w:cs="仿宋"/>
          <w:sz w:val="24"/>
        </w:rPr>
      </w:pPr>
      <w:r>
        <w:rPr>
          <w:rFonts w:hint="eastAsia" w:ascii="仿宋" w:hAnsi="仿宋" w:eastAsia="仿宋" w:cs="仿宋"/>
          <w:sz w:val="24"/>
        </w:rPr>
        <w:t>地    址：拉萨市</w:t>
      </w:r>
      <w:r>
        <w:rPr>
          <w:rFonts w:hint="eastAsia" w:ascii="仿宋" w:hAnsi="仿宋" w:eastAsia="仿宋" w:cs="仿宋"/>
          <w:sz w:val="24"/>
          <w:lang w:val="en-US" w:eastAsia="zh-CN"/>
        </w:rPr>
        <w:t>教育城勤学路1号</w:t>
      </w:r>
    </w:p>
    <w:p>
      <w:pPr>
        <w:autoSpaceDE w:val="0"/>
        <w:autoSpaceDN w:val="0"/>
        <w:snapToGrid w:val="0"/>
        <w:spacing w:line="360" w:lineRule="auto"/>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陈安安</w:t>
      </w:r>
    </w:p>
    <w:p>
      <w:pPr>
        <w:autoSpaceDE w:val="0"/>
        <w:autoSpaceDN w:val="0"/>
        <w:snapToGrid w:val="0"/>
        <w:spacing w:line="360" w:lineRule="auto"/>
        <w:rPr>
          <w:rFonts w:hint="default" w:ascii="仿宋" w:hAnsi="仿宋" w:eastAsia="仿宋" w:cs="仿宋"/>
          <w:sz w:val="24"/>
          <w:lang w:val="en-US" w:eastAsia="zh-CN"/>
        </w:rPr>
      </w:pPr>
      <w:r>
        <w:rPr>
          <w:rFonts w:hint="eastAsia" w:ascii="仿宋" w:hAnsi="仿宋" w:eastAsia="仿宋" w:cs="仿宋"/>
          <w:sz w:val="24"/>
        </w:rPr>
        <w:t>联 系  方 式：</w:t>
      </w:r>
      <w:r>
        <w:rPr>
          <w:rFonts w:hint="eastAsia" w:ascii="仿宋" w:hAnsi="仿宋" w:eastAsia="仿宋" w:cs="仿宋"/>
          <w:sz w:val="24"/>
          <w:lang w:val="en-US" w:eastAsia="zh-CN"/>
        </w:rPr>
        <w:t>17789004316</w:t>
      </w:r>
    </w:p>
    <w:p>
      <w:pPr>
        <w:pStyle w:val="3"/>
        <w:jc w:val="center"/>
      </w:pPr>
    </w:p>
    <w:p/>
    <w:p>
      <w:pPr>
        <w:pStyle w:val="2"/>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r>
        <w:rPr>
          <w:rFonts w:hint="eastAsia"/>
        </w:rPr>
        <w:t>第二章 投标人须知前附</w:t>
      </w:r>
      <w:bookmarkEnd w:id="0"/>
      <w:bookmarkEnd w:id="1"/>
      <w:bookmarkEnd w:id="2"/>
      <w:r>
        <w:rPr>
          <w:rFonts w:hint="eastAsia"/>
        </w:rPr>
        <w:t>表</w:t>
      </w:r>
      <w:bookmarkEnd w:id="3"/>
      <w:bookmarkEnd w:id="4"/>
    </w:p>
    <w:tbl>
      <w:tblPr>
        <w:tblStyle w:val="30"/>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1193"/>
        <w:gridCol w:w="7837"/>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条款号</w:t>
            </w:r>
          </w:p>
        </w:tc>
        <w:tc>
          <w:tcPr>
            <w:tcW w:w="7837" w:type="dxa"/>
            <w:vAlign w:val="center"/>
          </w:tcPr>
          <w:p>
            <w:pPr>
              <w:keepLines/>
              <w:spacing w:line="360" w:lineRule="auto"/>
              <w:ind w:firstLine="2400" w:firstLineChars="1000"/>
              <w:rPr>
                <w:rFonts w:ascii="仿宋" w:hAnsi="仿宋" w:eastAsia="仿宋" w:cs="仿宋"/>
                <w:b/>
                <w:sz w:val="24"/>
              </w:rPr>
            </w:pPr>
            <w:r>
              <w:rPr>
                <w:rFonts w:hint="eastAsia" w:ascii="仿宋" w:hAnsi="仿宋" w:eastAsia="仿宋" w:cs="仿宋"/>
                <w:b/>
                <w:sz w:val="24"/>
              </w:rPr>
              <w:t>内      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06" w:hRule="atLeast"/>
          <w:jc w:val="center"/>
        </w:trPr>
        <w:tc>
          <w:tcPr>
            <w:tcW w:w="9030" w:type="dxa"/>
            <w:gridSpan w:val="2"/>
            <w:vAlign w:val="center"/>
          </w:tcPr>
          <w:p>
            <w:pPr>
              <w:keepLines/>
              <w:spacing w:line="360" w:lineRule="auto"/>
              <w:jc w:val="center"/>
              <w:rPr>
                <w:rFonts w:ascii="仿宋" w:hAnsi="仿宋" w:eastAsia="仿宋" w:cs="仿宋"/>
                <w:b/>
                <w:sz w:val="24"/>
              </w:rPr>
            </w:pPr>
            <w:r>
              <w:rPr>
                <w:rFonts w:hint="eastAsia" w:ascii="仿宋" w:hAnsi="仿宋" w:eastAsia="仿宋" w:cs="仿宋"/>
                <w:b/>
                <w:sz w:val="24"/>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73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1.1</w:t>
            </w:r>
          </w:p>
        </w:tc>
        <w:tc>
          <w:tcPr>
            <w:tcW w:w="7837" w:type="dxa"/>
            <w:tcBorders>
              <w:left w:val="single" w:color="auto" w:sz="4" w:space="0"/>
            </w:tcBorders>
            <w:vAlign w:val="center"/>
          </w:tcPr>
          <w:p>
            <w:pPr>
              <w:keepLines/>
              <w:spacing w:line="360" w:lineRule="exact"/>
              <w:rPr>
                <w:rFonts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lang w:val="en-US" w:eastAsia="zh-CN"/>
              </w:rPr>
              <w:t>西藏康城肿瘤医院医用耗材</w:t>
            </w:r>
            <w:r>
              <w:rPr>
                <w:rFonts w:hint="eastAsia" w:ascii="仿宋" w:hAnsi="仿宋" w:eastAsia="仿宋" w:cs="仿宋"/>
                <w:sz w:val="24"/>
              </w:rPr>
              <w:t>采购项目</w:t>
            </w:r>
          </w:p>
          <w:p>
            <w:pPr>
              <w:keepLines/>
              <w:spacing w:line="360" w:lineRule="exact"/>
              <w:rPr>
                <w:rFonts w:hint="default" w:ascii="仿宋" w:hAnsi="仿宋" w:eastAsia="仿宋" w:cs="仿宋"/>
                <w:sz w:val="24"/>
                <w:lang w:val="en-US"/>
              </w:rPr>
            </w:pPr>
            <w:r>
              <w:rPr>
                <w:rFonts w:hint="eastAsia" w:ascii="仿宋" w:hAnsi="仿宋" w:eastAsia="仿宋" w:cs="仿宋"/>
                <w:sz w:val="24"/>
              </w:rPr>
              <w:t>项目编号：</w:t>
            </w:r>
            <w:r>
              <w:rPr>
                <w:rFonts w:hint="eastAsia" w:ascii="仿宋" w:hAnsi="仿宋" w:eastAsia="仿宋" w:cs="仿宋"/>
                <w:sz w:val="24"/>
                <w:lang w:val="en-US" w:eastAsia="zh-CN"/>
              </w:rPr>
              <w:t>XXKCZLYY210002</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1.2</w:t>
            </w:r>
          </w:p>
        </w:tc>
        <w:tc>
          <w:tcPr>
            <w:tcW w:w="7837" w:type="dxa"/>
            <w:tcBorders>
              <w:left w:val="single" w:color="auto" w:sz="4" w:space="0"/>
            </w:tcBorders>
            <w:vAlign w:val="center"/>
          </w:tcPr>
          <w:p>
            <w:pPr>
              <w:spacing w:line="360" w:lineRule="auto"/>
              <w:jc w:val="left"/>
              <w:rPr>
                <w:rFonts w:ascii="仿宋" w:hAnsi="仿宋" w:eastAsia="仿宋" w:cs="仿宋"/>
                <w:sz w:val="24"/>
              </w:rPr>
            </w:pPr>
            <w:r>
              <w:rPr>
                <w:rFonts w:hint="eastAsia" w:ascii="仿宋" w:hAnsi="仿宋" w:eastAsia="仿宋" w:cs="仿宋"/>
                <w:sz w:val="24"/>
              </w:rPr>
              <w:t>项目标段：一个标段</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6" w:hRule="atLeast"/>
          <w:jc w:val="center"/>
        </w:trPr>
        <w:tc>
          <w:tcPr>
            <w:tcW w:w="1193" w:type="dxa"/>
            <w:tcBorders>
              <w:right w:val="single" w:color="auto" w:sz="4" w:space="0"/>
            </w:tcBorders>
            <w:vAlign w:val="center"/>
          </w:tcPr>
          <w:p>
            <w:pPr>
              <w:keepLines/>
              <w:spacing w:line="360" w:lineRule="auto"/>
              <w:jc w:val="center"/>
              <w:rPr>
                <w:rFonts w:ascii="仿宋" w:hAnsi="仿宋" w:eastAsia="仿宋" w:cs="仿宋"/>
                <w:sz w:val="24"/>
              </w:rPr>
            </w:pPr>
            <w:r>
              <w:rPr>
                <w:rFonts w:hint="eastAsia" w:ascii="仿宋" w:hAnsi="仿宋" w:eastAsia="仿宋" w:cs="仿宋"/>
                <w:sz w:val="24"/>
              </w:rPr>
              <w:t>1.3</w:t>
            </w:r>
          </w:p>
        </w:tc>
        <w:tc>
          <w:tcPr>
            <w:tcW w:w="7837" w:type="dxa"/>
            <w:tcBorders>
              <w:left w:val="single" w:color="auto" w:sz="4" w:space="0"/>
            </w:tcBorders>
            <w:vAlign w:val="center"/>
          </w:tcPr>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采 购 人：西藏康城医疗管理有限公司</w:t>
            </w:r>
          </w:p>
          <w:p>
            <w:pPr>
              <w:spacing w:line="360" w:lineRule="auto"/>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地    址：拉萨市教育城勤学路1号</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rPr>
              <w:t>联 系 人：</w:t>
            </w:r>
            <w:r>
              <w:rPr>
                <w:rFonts w:hint="eastAsia" w:ascii="仿宋" w:hAnsi="仿宋" w:eastAsia="仿宋" w:cs="仿宋"/>
                <w:sz w:val="24"/>
                <w:lang w:val="en-US" w:eastAsia="zh-CN"/>
              </w:rPr>
              <w:t>陈安安</w:t>
            </w:r>
          </w:p>
          <w:p>
            <w:pPr>
              <w:pStyle w:val="2"/>
              <w:rPr>
                <w:rFonts w:hint="default" w:eastAsia="仿宋"/>
                <w:lang w:val="en-US" w:eastAsia="zh-CN"/>
              </w:rPr>
            </w:pPr>
            <w:r>
              <w:rPr>
                <w:rFonts w:hint="eastAsia" w:ascii="仿宋" w:hAnsi="仿宋" w:eastAsia="仿宋" w:cs="仿宋"/>
                <w:sz w:val="24"/>
              </w:rPr>
              <w:t>电    话：</w:t>
            </w:r>
            <w:r>
              <w:rPr>
                <w:rFonts w:hint="eastAsia" w:ascii="仿宋" w:hAnsi="仿宋" w:eastAsia="仿宋" w:cs="仿宋"/>
                <w:sz w:val="24"/>
                <w:lang w:val="en-US" w:eastAsia="zh-CN"/>
              </w:rPr>
              <w:t>17789004316</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11" w:hRule="atLeast"/>
          <w:jc w:val="center"/>
        </w:trPr>
        <w:tc>
          <w:tcPr>
            <w:tcW w:w="1193" w:type="dxa"/>
            <w:vAlign w:val="center"/>
          </w:tcPr>
          <w:p>
            <w:pPr>
              <w:keepLines/>
              <w:spacing w:line="360" w:lineRule="auto"/>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4</w:t>
            </w:r>
          </w:p>
        </w:tc>
        <w:tc>
          <w:tcPr>
            <w:tcW w:w="7837" w:type="dxa"/>
            <w:vAlign w:val="center"/>
          </w:tcPr>
          <w:p>
            <w:pPr>
              <w:keepLines/>
              <w:adjustRightInd w:val="0"/>
              <w:snapToGrid w:val="0"/>
              <w:spacing w:line="360" w:lineRule="auto"/>
              <w:rPr>
                <w:rFonts w:ascii="仿宋" w:hAnsi="仿宋" w:eastAsia="仿宋" w:cs="仿宋"/>
                <w:sz w:val="24"/>
              </w:rPr>
            </w:pPr>
            <w:r>
              <w:rPr>
                <w:rFonts w:hint="eastAsia" w:ascii="仿宋" w:hAnsi="仿宋" w:eastAsia="仿宋" w:cs="仿宋"/>
                <w:sz w:val="24"/>
              </w:rPr>
              <w:t>采购内容：详见第七章招标需求一览表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71" w:hRule="atLeast"/>
          <w:jc w:val="center"/>
        </w:trPr>
        <w:tc>
          <w:tcPr>
            <w:tcW w:w="1193" w:type="dxa"/>
            <w:vAlign w:val="center"/>
          </w:tcPr>
          <w:p>
            <w:pPr>
              <w:keepLines/>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5</w:t>
            </w:r>
          </w:p>
        </w:tc>
        <w:tc>
          <w:tcPr>
            <w:tcW w:w="7837" w:type="dxa"/>
            <w:vAlign w:val="center"/>
          </w:tcPr>
          <w:p>
            <w:pPr>
              <w:keepLines/>
              <w:spacing w:line="360" w:lineRule="auto"/>
              <w:jc w:val="left"/>
              <w:rPr>
                <w:rFonts w:hint="eastAsia" w:ascii="仿宋" w:hAnsi="仿宋" w:eastAsia="仿宋" w:cs="仿宋"/>
                <w:sz w:val="24"/>
                <w:lang w:eastAsia="zh-CN"/>
              </w:rPr>
            </w:pPr>
            <w:r>
              <w:rPr>
                <w:rFonts w:hint="eastAsia" w:ascii="仿宋" w:hAnsi="仿宋" w:eastAsia="仿宋" w:cs="仿宋"/>
                <w:sz w:val="24"/>
              </w:rPr>
              <w:t>资金来源：</w:t>
            </w:r>
            <w:r>
              <w:rPr>
                <w:rFonts w:hint="eastAsia" w:ascii="仿宋" w:hAnsi="仿宋" w:eastAsia="仿宋" w:cs="仿宋"/>
                <w:sz w:val="24"/>
                <w:lang w:val="en-US" w:eastAsia="zh-CN"/>
              </w:rPr>
              <w:t>公司自筹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38" w:hRule="atLeast"/>
          <w:jc w:val="center"/>
        </w:trPr>
        <w:tc>
          <w:tcPr>
            <w:tcW w:w="9030" w:type="dxa"/>
            <w:gridSpan w:val="2"/>
            <w:vAlign w:val="center"/>
          </w:tcPr>
          <w:p>
            <w:pPr>
              <w:keepLines/>
              <w:jc w:val="center"/>
              <w:rPr>
                <w:rFonts w:ascii="仿宋" w:hAnsi="仿宋" w:eastAsia="仿宋" w:cs="仿宋"/>
                <w:sz w:val="24"/>
              </w:rPr>
            </w:pPr>
            <w:r>
              <w:rPr>
                <w:rFonts w:hint="eastAsia" w:ascii="仿宋" w:hAnsi="仿宋" w:eastAsia="仿宋" w:cs="仿宋"/>
                <w:sz w:val="24"/>
              </w:rPr>
              <w:t>投标报价和货币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960" w:hRule="atLeast"/>
          <w:jc w:val="center"/>
        </w:trPr>
        <w:tc>
          <w:tcPr>
            <w:tcW w:w="1193" w:type="dxa"/>
            <w:vAlign w:val="center"/>
          </w:tcPr>
          <w:p>
            <w:pPr>
              <w:keepLines/>
              <w:spacing w:line="360" w:lineRule="exact"/>
              <w:jc w:val="center"/>
              <w:rPr>
                <w:rFonts w:ascii="仿宋" w:hAnsi="仿宋" w:eastAsia="仿宋" w:cs="仿宋"/>
                <w:sz w:val="24"/>
              </w:rPr>
            </w:pPr>
            <w:r>
              <w:rPr>
                <w:rFonts w:hint="eastAsia" w:ascii="仿宋" w:hAnsi="仿宋" w:eastAsia="仿宋" w:cs="仿宋"/>
                <w:sz w:val="24"/>
              </w:rPr>
              <w:t>2.1</w:t>
            </w:r>
          </w:p>
        </w:tc>
        <w:tc>
          <w:tcPr>
            <w:tcW w:w="7837" w:type="dxa"/>
            <w:vAlign w:val="center"/>
          </w:tcPr>
          <w:p>
            <w:pPr>
              <w:keepLines/>
              <w:spacing w:line="360" w:lineRule="exact"/>
              <w:rPr>
                <w:rFonts w:ascii="仿宋" w:hAnsi="仿宋" w:eastAsia="仿宋" w:cs="仿宋"/>
                <w:sz w:val="24"/>
              </w:rPr>
            </w:pPr>
            <w:r>
              <w:rPr>
                <w:rFonts w:hint="eastAsia" w:ascii="仿宋" w:hAnsi="仿宋" w:eastAsia="仿宋" w:cs="仿宋"/>
                <w:sz w:val="24"/>
              </w:rPr>
              <w:t>投标报价：货物的最终目的地价（货物费用、服务费用、管理费用等）等</w:t>
            </w:r>
          </w:p>
          <w:p>
            <w:pPr>
              <w:keepLines/>
              <w:spacing w:line="360" w:lineRule="exact"/>
              <w:rPr>
                <w:rFonts w:hint="eastAsia" w:ascii="仿宋" w:hAnsi="仿宋" w:eastAsia="仿宋" w:cs="仿宋"/>
                <w:sz w:val="24"/>
                <w:lang w:val="en-US" w:eastAsia="zh-CN"/>
              </w:rPr>
            </w:pPr>
            <w:r>
              <w:rPr>
                <w:rFonts w:hint="eastAsia" w:ascii="仿宋" w:hAnsi="仿宋" w:eastAsia="仿宋" w:cs="仿宋"/>
                <w:sz w:val="24"/>
                <w:lang w:val="en-US" w:eastAsia="zh-CN"/>
              </w:rPr>
              <w:t>单品价格招标（不得超过集采价和挂网价）；</w:t>
            </w:r>
          </w:p>
          <w:p>
            <w:pPr>
              <w:keepLines/>
              <w:spacing w:line="360" w:lineRule="exact"/>
              <w:rPr>
                <w:rFonts w:ascii="仿宋" w:hAnsi="仿宋" w:eastAsia="仿宋" w:cs="仿宋"/>
                <w:b/>
                <w:bCs/>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8"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2.2</w:t>
            </w:r>
          </w:p>
        </w:tc>
        <w:tc>
          <w:tcPr>
            <w:tcW w:w="7837" w:type="dxa"/>
            <w:vAlign w:val="center"/>
          </w:tcPr>
          <w:p>
            <w:pPr>
              <w:keepLines/>
              <w:spacing w:line="360" w:lineRule="auto"/>
              <w:jc w:val="left"/>
              <w:rPr>
                <w:rFonts w:ascii="仿宋" w:hAnsi="仿宋" w:eastAsia="仿宋" w:cs="仿宋"/>
                <w:i/>
                <w:sz w:val="24"/>
              </w:rPr>
            </w:pPr>
            <w:r>
              <w:rPr>
                <w:rFonts w:hint="eastAsia" w:ascii="仿宋" w:hAnsi="仿宋" w:eastAsia="仿宋" w:cs="仿宋"/>
                <w:sz w:val="24"/>
              </w:rPr>
              <w:t>投标货币：人民币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211" w:hRule="atLeast"/>
          <w:jc w:val="center"/>
        </w:trPr>
        <w:tc>
          <w:tcPr>
            <w:tcW w:w="9030" w:type="dxa"/>
            <w:gridSpan w:val="2"/>
            <w:vAlign w:val="center"/>
          </w:tcPr>
          <w:p>
            <w:pPr>
              <w:keepLines/>
              <w:spacing w:line="360" w:lineRule="auto"/>
              <w:jc w:val="center"/>
              <w:rPr>
                <w:rFonts w:ascii="仿宋" w:hAnsi="仿宋" w:eastAsia="仿宋" w:cs="仿宋"/>
                <w:sz w:val="24"/>
              </w:rPr>
            </w:pPr>
            <w:r>
              <w:rPr>
                <w:rFonts w:hint="eastAsia" w:ascii="仿宋" w:hAnsi="仿宋" w:eastAsia="仿宋" w:cs="仿宋"/>
                <w:sz w:val="24"/>
              </w:rPr>
              <w:t>投标文件的编制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05" w:hRule="atLeast"/>
          <w:jc w:val="center"/>
        </w:trPr>
        <w:tc>
          <w:tcPr>
            <w:tcW w:w="1193"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3.1</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资格标准：</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1.投标人须符合《政府采购法》第二十二条的相关规定：</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1)具有独立承担民事责任的能力(提供法人或者其他组织的营业执照等证明文件,自然人的身份证明)；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2)具有良好的商业信誉和健全的财务会计制度（提供2018年-2020年度财务报表；投标人为2020年1月1日以后成立的，可提供近期的月或季度财务报表复印件）；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 xml:space="preserve">3)有依法缴纳税收和社会保障资金的良好记录（提供近半年至今任意一个月缴纳税收和社会保险的凭证复印件。如依法免税或不需要缴纳社会保障资金的，应提供相应文件证明复印件)； </w:t>
            </w:r>
          </w:p>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2.拟参加本项目的潜在供应商须具备有效的营业执照</w:t>
            </w:r>
            <w:r>
              <w:rPr>
                <w:rFonts w:hint="eastAsia" w:ascii="仿宋" w:hAnsi="仿宋" w:eastAsia="仿宋" w:cs="仿宋"/>
                <w:sz w:val="24"/>
                <w:lang w:eastAsia="zh-CN"/>
              </w:rPr>
              <w:t>、</w:t>
            </w:r>
            <w:r>
              <w:rPr>
                <w:rFonts w:hint="eastAsia" w:ascii="仿宋" w:hAnsi="仿宋" w:eastAsia="仿宋" w:cs="仿宋"/>
                <w:sz w:val="24"/>
                <w:lang w:val="en-US" w:eastAsia="zh-CN"/>
              </w:rPr>
              <w:t>资质证书</w:t>
            </w:r>
            <w:r>
              <w:rPr>
                <w:rFonts w:hint="eastAsia" w:ascii="仿宋" w:hAnsi="仿宋" w:eastAsia="仿宋" w:cs="仿宋"/>
                <w:sz w:val="24"/>
              </w:rPr>
              <w:t>，且经营范围包含本次采购内容。</w:t>
            </w:r>
          </w:p>
          <w:p>
            <w:pPr>
              <w:wordWrap w:val="0"/>
              <w:autoSpaceDE w:val="0"/>
              <w:autoSpaceDN w:val="0"/>
              <w:snapToGrid w:val="0"/>
              <w:spacing w:line="360" w:lineRule="auto"/>
              <w:rPr>
                <w:rFonts w:ascii="仿宋" w:hAnsi="仿宋" w:eastAsia="仿宋" w:cs="仿宋"/>
                <w:sz w:val="24"/>
              </w:rPr>
            </w:pPr>
            <w:r>
              <w:rPr>
                <w:rFonts w:hint="eastAsia" w:ascii="仿宋" w:hAnsi="仿宋" w:eastAsia="仿宋" w:cs="仿宋"/>
                <w:sz w:val="24"/>
              </w:rPr>
              <w:t>3.投标人在“信用中国”网（www.creditchina.gov.cn）、“中国政府采购”网（www.ccgp.gov.cn）没有被列入失信被执行人、重大税收违法案件当事人名单、政府采购严重违法失信行为记录名单及其他不符合规定条件的供应商（以本项目招标公告发布之日至提交投标文件截止之日期间，在上述网址的网页查询结果为准）。</w:t>
            </w:r>
          </w:p>
          <w:p>
            <w:pPr>
              <w:autoSpaceDE w:val="0"/>
              <w:autoSpaceDN w:val="0"/>
              <w:snapToGrid w:val="0"/>
              <w:spacing w:line="360" w:lineRule="auto"/>
              <w:rPr>
                <w:rFonts w:ascii="仿宋" w:hAnsi="仿宋" w:eastAsia="仿宋" w:cs="仿宋"/>
                <w:color w:val="FF0000"/>
                <w:sz w:val="24"/>
              </w:rPr>
            </w:pPr>
            <w:r>
              <w:rPr>
                <w:rFonts w:hint="eastAsia" w:ascii="仿宋" w:hAnsi="仿宋" w:eastAsia="仿宋" w:cs="仿宋"/>
                <w:sz w:val="24"/>
              </w:rPr>
              <w:t>4.单位负责人为同一人或者存在直接控股、管理关系的不同供应商，不得同时参加本采购项目投标。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613"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3.2</w:t>
            </w:r>
          </w:p>
        </w:tc>
        <w:tc>
          <w:tcPr>
            <w:tcW w:w="7837" w:type="dxa"/>
            <w:vAlign w:val="center"/>
          </w:tcPr>
          <w:p>
            <w:pPr>
              <w:keepLines/>
              <w:spacing w:line="360" w:lineRule="auto"/>
              <w:rPr>
                <w:rFonts w:ascii="仿宋" w:hAnsi="仿宋" w:eastAsia="仿宋" w:cs="仿宋"/>
                <w:sz w:val="24"/>
              </w:rPr>
            </w:pPr>
            <w:r>
              <w:rPr>
                <w:rFonts w:hint="eastAsia" w:ascii="仿宋" w:hAnsi="仿宋" w:eastAsia="仿宋" w:cs="仿宋"/>
                <w:sz w:val="24"/>
                <w:lang w:val="en-US" w:eastAsia="zh-CN"/>
              </w:rPr>
              <w:t>货物</w:t>
            </w:r>
            <w:r>
              <w:rPr>
                <w:rFonts w:hint="eastAsia" w:ascii="仿宋" w:hAnsi="仿宋" w:eastAsia="仿宋" w:cs="仿宋"/>
                <w:sz w:val="24"/>
              </w:rPr>
              <w:t>配备要求：</w:t>
            </w:r>
            <w:r>
              <w:rPr>
                <w:rFonts w:hint="eastAsia" w:ascii="仿宋" w:hAnsi="仿宋" w:eastAsia="仿宋" w:cs="仿宋"/>
                <w:sz w:val="24"/>
                <w:lang w:val="en-US" w:eastAsia="zh-CN"/>
              </w:rPr>
              <w:t>要</w:t>
            </w:r>
            <w:r>
              <w:rPr>
                <w:rFonts w:hint="eastAsia" w:ascii="仿宋" w:hAnsi="仿宋" w:eastAsia="仿宋" w:cs="仿宋"/>
                <w:sz w:val="24"/>
              </w:rPr>
              <w:t>满足</w:t>
            </w:r>
            <w:r>
              <w:rPr>
                <w:rFonts w:hint="eastAsia" w:ascii="仿宋" w:hAnsi="仿宋" w:eastAsia="仿宋" w:cs="仿宋"/>
                <w:sz w:val="24"/>
                <w:lang w:val="en-US" w:eastAsia="zh-CN"/>
              </w:rPr>
              <w:t>医院需求</w:t>
            </w:r>
            <w:r>
              <w:rPr>
                <w:rFonts w:hint="eastAsia" w:ascii="仿宋" w:hAnsi="仿宋" w:eastAsia="仿宋" w:cs="仿宋"/>
                <w:sz w:val="24"/>
              </w:rPr>
              <w:t>，</w:t>
            </w:r>
            <w:r>
              <w:rPr>
                <w:rFonts w:hint="eastAsia" w:ascii="仿宋" w:hAnsi="仿宋" w:eastAsia="仿宋" w:cs="仿宋"/>
                <w:sz w:val="24"/>
                <w:lang w:val="en-US" w:eastAsia="zh-CN"/>
              </w:rPr>
              <w:t>随时提供货物</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2" w:hRule="atLeast"/>
          <w:jc w:val="center"/>
        </w:trPr>
        <w:tc>
          <w:tcPr>
            <w:tcW w:w="1193" w:type="dxa"/>
            <w:vAlign w:val="center"/>
          </w:tcPr>
          <w:p>
            <w:pPr>
              <w:keepLines/>
              <w:jc w:val="center"/>
              <w:rPr>
                <w:rFonts w:ascii="仿宋" w:hAnsi="仿宋" w:eastAsia="仿宋" w:cs="仿宋"/>
                <w:sz w:val="24"/>
              </w:rPr>
            </w:pPr>
            <w:r>
              <w:rPr>
                <w:rFonts w:hint="eastAsia" w:ascii="仿宋" w:hAnsi="仿宋" w:eastAsia="仿宋" w:cs="仿宋"/>
                <w:sz w:val="24"/>
              </w:rPr>
              <w:t>3.3</w:t>
            </w:r>
          </w:p>
        </w:tc>
        <w:tc>
          <w:tcPr>
            <w:tcW w:w="7837" w:type="dxa"/>
            <w:vAlign w:val="center"/>
          </w:tcPr>
          <w:p>
            <w:pPr>
              <w:keepLines/>
              <w:spacing w:line="360" w:lineRule="auto"/>
              <w:ind w:left="1"/>
              <w:jc w:val="left"/>
              <w:rPr>
                <w:rFonts w:ascii="仿宋" w:hAnsi="仿宋" w:eastAsia="仿宋" w:cs="仿宋"/>
                <w:sz w:val="24"/>
              </w:rPr>
            </w:pPr>
            <w:r>
              <w:rPr>
                <w:rFonts w:hint="eastAsia" w:ascii="仿宋" w:hAnsi="仿宋" w:eastAsia="仿宋" w:cs="仿宋"/>
                <w:sz w:val="24"/>
              </w:rPr>
              <w:t xml:space="preserve">招标文件的澄清：不统一组织标前答疑会，各投标单位如有问题，请将需要解答的问题按规定提出，采购人予以回复。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12" w:hRule="atLeast"/>
          <w:jc w:val="center"/>
        </w:trPr>
        <w:tc>
          <w:tcPr>
            <w:tcW w:w="1193" w:type="dxa"/>
            <w:vAlign w:val="center"/>
          </w:tcPr>
          <w:p>
            <w:pPr>
              <w:keepLines/>
              <w:spacing w:line="360" w:lineRule="auto"/>
              <w:jc w:val="center"/>
              <w:rPr>
                <w:rFonts w:ascii="仿宋" w:hAnsi="仿宋" w:eastAsia="仿宋" w:cs="仿宋"/>
                <w:sz w:val="24"/>
              </w:rPr>
            </w:pPr>
            <w:r>
              <w:rPr>
                <w:rFonts w:hint="eastAsia" w:ascii="仿宋" w:hAnsi="仿宋" w:eastAsia="仿宋" w:cs="仿宋"/>
                <w:sz w:val="24"/>
              </w:rPr>
              <w:t>3.4</w:t>
            </w:r>
          </w:p>
        </w:tc>
        <w:tc>
          <w:tcPr>
            <w:tcW w:w="7837" w:type="dxa"/>
            <w:vAlign w:val="center"/>
          </w:tcPr>
          <w:p>
            <w:pPr>
              <w:keepLines/>
              <w:spacing w:line="360" w:lineRule="auto"/>
              <w:ind w:left="1"/>
              <w:jc w:val="left"/>
              <w:rPr>
                <w:rFonts w:hint="eastAsia" w:ascii="仿宋" w:hAnsi="仿宋" w:eastAsia="仿宋" w:cs="仿宋"/>
                <w:lang w:val="en-US" w:eastAsia="zh-CN"/>
              </w:rPr>
            </w:pPr>
            <w:r>
              <w:rPr>
                <w:rFonts w:hint="eastAsia" w:ascii="仿宋" w:hAnsi="仿宋" w:eastAsia="仿宋" w:cs="仿宋"/>
                <w:color w:val="000000"/>
                <w:sz w:val="24"/>
              </w:rPr>
              <w:t>投标保证金金额：</w:t>
            </w:r>
            <w:r>
              <w:rPr>
                <w:rFonts w:hint="eastAsia" w:ascii="仿宋" w:hAnsi="仿宋" w:eastAsia="仿宋" w:cs="仿宋"/>
                <w:color w:val="000000"/>
                <w:sz w:val="24"/>
                <w:lang w:val="en-US" w:eastAsia="zh-CN"/>
              </w:rPr>
              <w:t>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5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投标有效期：开标之日起90个日历日，如果中标，有效期自动延长至合同履行完毕。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88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投标文件份数：正本壹份，副本肆份，电子版壹份。</w:t>
            </w:r>
          </w:p>
          <w:p>
            <w:pPr>
              <w:spacing w:line="360" w:lineRule="auto"/>
              <w:jc w:val="left"/>
              <w:rPr>
                <w:rFonts w:ascii="仿宋" w:hAnsi="仿宋" w:eastAsia="仿宋" w:cs="仿宋"/>
                <w:sz w:val="24"/>
              </w:rPr>
            </w:pPr>
            <w:r>
              <w:rPr>
                <w:rFonts w:hint="eastAsia" w:ascii="仿宋" w:hAnsi="仿宋" w:eastAsia="仿宋" w:cs="仿宋"/>
                <w:sz w:val="24"/>
              </w:rPr>
              <w:t>（包含投标文件所有内容）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1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color w:val="000000"/>
                <w:sz w:val="24"/>
              </w:rPr>
              <w:t>投标截止时间：2021年1</w:t>
            </w:r>
            <w:r>
              <w:rPr>
                <w:rFonts w:hint="eastAsia" w:ascii="仿宋" w:hAnsi="仿宋" w:eastAsia="仿宋" w:cs="仿宋"/>
                <w:color w:val="000000"/>
                <w:sz w:val="24"/>
                <w:lang w:val="en-US" w:eastAsia="zh-CN"/>
              </w:rPr>
              <w:t>2</w:t>
            </w:r>
            <w:r>
              <w:rPr>
                <w:rFonts w:hint="eastAsia" w:ascii="仿宋" w:hAnsi="仿宋" w:eastAsia="仿宋" w:cs="仿宋"/>
                <w:color w:val="000000"/>
                <w:sz w:val="24"/>
              </w:rPr>
              <w:t>月</w:t>
            </w:r>
            <w:r>
              <w:rPr>
                <w:rFonts w:hint="eastAsia" w:ascii="仿宋" w:hAnsi="仿宋" w:eastAsia="仿宋" w:cs="仿宋"/>
                <w:color w:val="000000"/>
                <w:sz w:val="24"/>
                <w:lang w:val="en-US" w:eastAsia="zh-CN"/>
              </w:rPr>
              <w:t>2</w:t>
            </w:r>
            <w:r>
              <w:rPr>
                <w:rFonts w:hint="eastAsia" w:ascii="仿宋" w:hAnsi="仿宋" w:eastAsia="仿宋" w:cs="仿宋"/>
                <w:color w:val="000000"/>
                <w:sz w:val="24"/>
              </w:rPr>
              <w:t>日15时30分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1048"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8</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开标时间：2021年1</w:t>
            </w:r>
            <w:r>
              <w:rPr>
                <w:rFonts w:hint="eastAsia" w:ascii="仿宋" w:hAnsi="仿宋" w:eastAsia="仿宋" w:cs="仿宋"/>
                <w:sz w:val="24"/>
                <w:lang w:val="en-US" w:eastAsia="zh-CN"/>
              </w:rPr>
              <w:t>2</w:t>
            </w:r>
            <w:r>
              <w:rPr>
                <w:rFonts w:hint="eastAsia" w:ascii="仿宋" w:hAnsi="仿宋" w:eastAsia="仿宋" w:cs="仿宋"/>
                <w:sz w:val="24"/>
              </w:rPr>
              <w:t>月</w:t>
            </w:r>
            <w:r>
              <w:rPr>
                <w:rFonts w:hint="eastAsia" w:ascii="仿宋" w:hAnsi="仿宋" w:eastAsia="仿宋" w:cs="仿宋"/>
                <w:sz w:val="24"/>
                <w:lang w:val="en-US" w:eastAsia="zh-CN"/>
              </w:rPr>
              <w:t>2</w:t>
            </w:r>
            <w:r>
              <w:rPr>
                <w:rFonts w:hint="eastAsia" w:ascii="仿宋" w:hAnsi="仿宋" w:eastAsia="仿宋" w:cs="仿宋"/>
                <w:sz w:val="24"/>
              </w:rPr>
              <w:t>日15时30分</w:t>
            </w:r>
          </w:p>
          <w:p>
            <w:pPr>
              <w:spacing w:line="360" w:lineRule="auto"/>
              <w:jc w:val="left"/>
              <w:rPr>
                <w:rFonts w:hint="default" w:ascii="仿宋" w:hAnsi="仿宋" w:eastAsia="仿宋" w:cs="仿宋"/>
                <w:sz w:val="24"/>
                <w:lang w:val="en-US" w:eastAsia="zh-CN"/>
              </w:rPr>
            </w:pPr>
            <w:r>
              <w:rPr>
                <w:rFonts w:hint="eastAsia" w:ascii="仿宋" w:hAnsi="仿宋" w:eastAsia="仿宋" w:cs="仿宋"/>
                <w:sz w:val="24"/>
              </w:rPr>
              <w:t>开标地点：</w:t>
            </w:r>
            <w:r>
              <w:rPr>
                <w:rFonts w:hint="eastAsia" w:ascii="仿宋" w:hAnsi="仿宋" w:eastAsia="仿宋" w:cs="仿宋"/>
                <w:sz w:val="24"/>
                <w:lang w:val="en-US" w:eastAsia="zh-CN"/>
              </w:rPr>
              <w:t>西藏康城肿瘤医院一楼会议室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eastAsia="zh-CN"/>
              </w:rPr>
            </w:pPr>
            <w:r>
              <w:rPr>
                <w:rFonts w:hint="eastAsia" w:ascii="仿宋" w:hAnsi="仿宋" w:eastAsia="仿宋" w:cs="仿宋"/>
                <w:sz w:val="24"/>
              </w:rPr>
              <w:t>3.</w:t>
            </w:r>
            <w:r>
              <w:rPr>
                <w:rFonts w:hint="eastAsia" w:ascii="仿宋" w:hAnsi="仿宋" w:eastAsia="仿宋" w:cs="仿宋"/>
                <w:sz w:val="24"/>
                <w:lang w:val="en-US" w:eastAsia="zh-CN"/>
              </w:rPr>
              <w:t>9</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质量标准：合格（符合国家现行相关标准及招标文件要求）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10</w:t>
            </w:r>
          </w:p>
        </w:tc>
        <w:tc>
          <w:tcPr>
            <w:tcW w:w="7837" w:type="dxa"/>
            <w:vAlign w:val="center"/>
          </w:tcPr>
          <w:p>
            <w:pPr>
              <w:spacing w:line="360" w:lineRule="auto"/>
              <w:jc w:val="left"/>
              <w:rPr>
                <w:rFonts w:hint="eastAsia" w:ascii="仿宋" w:hAnsi="仿宋" w:eastAsia="仿宋" w:cs="仿宋"/>
                <w:bCs/>
                <w:kern w:val="0"/>
                <w:sz w:val="24"/>
                <w:lang w:eastAsia="zh-CN"/>
              </w:rPr>
            </w:pPr>
            <w:r>
              <w:rPr>
                <w:rFonts w:hint="eastAsia" w:ascii="仿宋" w:hAnsi="仿宋" w:eastAsia="仿宋" w:cs="仿宋"/>
                <w:bCs/>
                <w:kern w:val="0"/>
                <w:sz w:val="24"/>
              </w:rPr>
              <w:t>供货地点：</w:t>
            </w:r>
            <w:r>
              <w:rPr>
                <w:rFonts w:hint="eastAsia" w:ascii="仿宋" w:hAnsi="仿宋" w:eastAsia="仿宋" w:cs="仿宋"/>
                <w:bCs/>
                <w:kern w:val="0"/>
                <w:sz w:val="24"/>
                <w:lang w:val="en-US" w:eastAsia="zh-CN"/>
              </w:rPr>
              <w:t>西藏康城肿瘤医院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1</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合同履行期限：</w:t>
            </w:r>
            <w:r>
              <w:rPr>
                <w:rFonts w:hint="eastAsia" w:ascii="仿宋" w:hAnsi="仿宋" w:eastAsia="仿宋" w:cs="仿宋"/>
                <w:bCs/>
                <w:kern w:val="0"/>
                <w:sz w:val="24"/>
                <w:lang w:val="en-US" w:eastAsia="zh-CN"/>
              </w:rPr>
              <w:t>2022年1月1日-2022年12月31</w:t>
            </w:r>
            <w:r>
              <w:rPr>
                <w:rFonts w:hint="eastAsia" w:ascii="仿宋" w:hAnsi="仿宋" w:eastAsia="仿宋" w:cs="仿宋"/>
                <w:bCs/>
                <w:kern w:val="0"/>
                <w:sz w:val="24"/>
              </w:rPr>
              <w:t>日历天内完成。</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2</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交货方式：</w:t>
            </w:r>
            <w:r>
              <w:rPr>
                <w:rFonts w:hint="eastAsia" w:ascii="仿宋" w:hAnsi="仿宋" w:eastAsia="仿宋" w:cs="仿宋"/>
                <w:bCs/>
                <w:kern w:val="0"/>
                <w:sz w:val="24"/>
                <w:lang w:val="en-US" w:eastAsia="zh-CN"/>
              </w:rPr>
              <w:t>根据医院需求，提供送货</w:t>
            </w:r>
            <w:r>
              <w:rPr>
                <w:rFonts w:hint="eastAsia" w:ascii="仿宋" w:hAnsi="仿宋" w:eastAsia="仿宋" w:cs="仿宋"/>
                <w:bCs/>
                <w:kern w:val="0"/>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3</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bCs/>
                <w:kern w:val="0"/>
                <w:sz w:val="24"/>
              </w:rPr>
              <w:t>违约责任：详见合同条款</w:t>
            </w:r>
            <w:r>
              <w:rPr>
                <w:rFonts w:hint="eastAsia" w:ascii="仿宋" w:hAnsi="仿宋" w:eastAsia="仿宋" w:cs="仿宋"/>
                <w:bCs/>
                <w:kern w:val="0"/>
                <w:sz w:val="24"/>
                <w:lang w:val="en-US" w:eastAsia="zh-CN"/>
              </w:rPr>
              <w:t>九</w:t>
            </w:r>
            <w:r>
              <w:rPr>
                <w:rFonts w:hint="eastAsia" w:ascii="仿宋" w:hAnsi="仿宋" w:eastAsia="仿宋" w:cs="仿宋"/>
                <w:bCs/>
                <w:kern w:val="0"/>
                <w:sz w:val="24"/>
              </w:rPr>
              <w:t>条</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4</w:t>
            </w:r>
          </w:p>
        </w:tc>
        <w:tc>
          <w:tcPr>
            <w:tcW w:w="7837" w:type="dxa"/>
            <w:vAlign w:val="center"/>
          </w:tcPr>
          <w:p>
            <w:pPr>
              <w:spacing w:line="360" w:lineRule="auto"/>
              <w:jc w:val="left"/>
              <w:rPr>
                <w:rFonts w:ascii="仿宋" w:hAnsi="仿宋" w:eastAsia="仿宋" w:cs="仿宋"/>
                <w:bCs/>
                <w:kern w:val="0"/>
                <w:sz w:val="24"/>
              </w:rPr>
            </w:pPr>
            <w:r>
              <w:rPr>
                <w:rFonts w:hint="eastAsia" w:ascii="仿宋" w:hAnsi="仿宋" w:eastAsia="仿宋" w:cs="仿宋"/>
                <w:sz w:val="24"/>
              </w:rPr>
              <w:t>签字和（或）盖章</w:t>
            </w:r>
            <w:r>
              <w:rPr>
                <w:rFonts w:hint="eastAsia" w:ascii="仿宋" w:hAnsi="仿宋" w:eastAsia="仿宋" w:cs="仿宋"/>
                <w:bCs/>
                <w:kern w:val="0"/>
                <w:sz w:val="24"/>
              </w:rPr>
              <w:t>要求：按“第五章、投标文件格式”在相应格式处按要求亲笔签字或盖章以及在相应格式处加盖公章；</w:t>
            </w:r>
            <w:r>
              <w:rPr>
                <w:rFonts w:ascii="仿宋" w:hAnsi="仿宋" w:eastAsia="仿宋" w:cs="仿宋"/>
                <w:bCs/>
                <w:kern w:val="0"/>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5</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装订要求：</w:t>
            </w:r>
            <w:r>
              <w:rPr>
                <w:rFonts w:hint="eastAsia" w:ascii="仿宋" w:hAnsi="仿宋" w:eastAsia="仿宋" w:cs="仿宋"/>
                <w:bCs/>
                <w:sz w:val="24"/>
              </w:rPr>
              <w:t>编排页码并无线胶装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eastAsia" w:ascii="仿宋" w:hAnsi="仿宋" w:eastAsia="仿宋" w:cs="仿宋"/>
                <w:sz w:val="24"/>
                <w:lang w:val="en-US" w:eastAsia="zh-CN"/>
              </w:rPr>
            </w:pPr>
            <w:r>
              <w:rPr>
                <w:rFonts w:hint="eastAsia" w:ascii="仿宋" w:hAnsi="仿宋" w:eastAsia="仿宋" w:cs="仿宋"/>
                <w:sz w:val="24"/>
              </w:rPr>
              <w:t>3.1</w:t>
            </w:r>
            <w:r>
              <w:rPr>
                <w:rFonts w:hint="eastAsia" w:ascii="仿宋" w:hAnsi="仿宋" w:eastAsia="仿宋" w:cs="仿宋"/>
                <w:sz w:val="24"/>
                <w:lang w:val="en-US" w:eastAsia="zh-CN"/>
              </w:rPr>
              <w:t>6</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封套上写明内容见</w:t>
            </w:r>
            <w:r>
              <w:rPr>
                <w:rFonts w:hint="eastAsia" w:ascii="仿宋" w:hAnsi="仿宋" w:eastAsia="仿宋" w:cs="仿宋"/>
                <w:bCs/>
                <w:sz w:val="24"/>
              </w:rPr>
              <w:t>投标文件密封要求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622" w:hRule="atLeast"/>
          <w:jc w:val="center"/>
        </w:trPr>
        <w:tc>
          <w:tcPr>
            <w:tcW w:w="1193" w:type="dxa"/>
            <w:vAlign w:val="center"/>
          </w:tcPr>
          <w:p>
            <w:pPr>
              <w:spacing w:line="360" w:lineRule="auto"/>
              <w:jc w:val="center"/>
              <w:rPr>
                <w:rFonts w:hint="default" w:ascii="仿宋" w:hAnsi="仿宋" w:eastAsia="仿宋" w:cs="仿宋"/>
                <w:sz w:val="24"/>
                <w:lang w:val="en-US" w:eastAsia="zh-CN"/>
              </w:rPr>
            </w:pPr>
            <w:r>
              <w:rPr>
                <w:rFonts w:hint="eastAsia" w:ascii="仿宋" w:hAnsi="仿宋" w:eastAsia="仿宋" w:cs="仿宋"/>
                <w:sz w:val="24"/>
              </w:rPr>
              <w:t>3.</w:t>
            </w:r>
            <w:r>
              <w:rPr>
                <w:rFonts w:hint="eastAsia" w:ascii="仿宋" w:hAnsi="仿宋" w:eastAsia="仿宋" w:cs="仿宋"/>
                <w:sz w:val="24"/>
                <w:lang w:val="en-US" w:eastAsia="zh-CN"/>
              </w:rPr>
              <w:t>17</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1.投标文件（请按照招标文件第五章的要求进行填写并单独装订成册密封）：</w:t>
            </w:r>
          </w:p>
          <w:p>
            <w:pPr>
              <w:spacing w:line="360" w:lineRule="auto"/>
              <w:jc w:val="left"/>
              <w:rPr>
                <w:rFonts w:ascii="仿宋" w:hAnsi="仿宋" w:eastAsia="仿宋" w:cs="仿宋"/>
                <w:sz w:val="24"/>
              </w:rPr>
            </w:pPr>
            <w:r>
              <w:rPr>
                <w:rFonts w:hint="eastAsia" w:ascii="仿宋" w:hAnsi="仿宋" w:eastAsia="仿宋" w:cs="仿宋"/>
                <w:sz w:val="24"/>
              </w:rPr>
              <w:t>正本1份、副本4份、电子文档1份（U盘，单独密封）电子文档为投标文件的 WORD 版和PDF版（PDF版是投标文件的正本盖章后的扫描件）。</w:t>
            </w:r>
          </w:p>
          <w:p>
            <w:pPr>
              <w:spacing w:line="360" w:lineRule="auto"/>
              <w:jc w:val="left"/>
              <w:rPr>
                <w:rFonts w:ascii="仿宋" w:hAnsi="仿宋" w:eastAsia="仿宋" w:cs="仿宋"/>
                <w:sz w:val="24"/>
              </w:rPr>
            </w:pPr>
            <w:r>
              <w:rPr>
                <w:rFonts w:hint="eastAsia" w:ascii="仿宋" w:hAnsi="仿宋" w:eastAsia="仿宋" w:cs="仿宋"/>
                <w:sz w:val="24"/>
              </w:rPr>
              <w:t>注：副本应是正本清晰的复印件。投标文件应尽量采用单面打印或印刷。</w:t>
            </w:r>
          </w:p>
          <w:p>
            <w:pPr>
              <w:spacing w:line="360" w:lineRule="auto"/>
              <w:jc w:val="left"/>
              <w:rPr>
                <w:rFonts w:ascii="仿宋" w:hAnsi="仿宋" w:eastAsia="仿宋" w:cs="仿宋"/>
                <w:sz w:val="24"/>
              </w:rPr>
            </w:pPr>
            <w:r>
              <w:rPr>
                <w:rFonts w:hint="eastAsia" w:ascii="仿宋" w:hAnsi="仿宋" w:eastAsia="仿宋" w:cs="仿宋"/>
                <w:sz w:val="24"/>
              </w:rPr>
              <w:t>电子文档需单独密封，在递交投标文件时单独提交给采购</w:t>
            </w:r>
            <w:r>
              <w:rPr>
                <w:rFonts w:hint="eastAsia" w:ascii="仿宋" w:hAnsi="仿宋" w:eastAsia="仿宋" w:cs="仿宋"/>
                <w:sz w:val="24"/>
                <w:lang w:val="en-US" w:eastAsia="zh-CN"/>
              </w:rPr>
              <w:t>人</w:t>
            </w:r>
            <w:r>
              <w:rPr>
                <w:rFonts w:hint="eastAsia" w:ascii="仿宋" w:hAnsi="仿宋" w:eastAsia="仿宋" w:cs="仿宋"/>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98" w:hRule="atLeast"/>
          <w:jc w:val="center"/>
        </w:trPr>
        <w:tc>
          <w:tcPr>
            <w:tcW w:w="9030" w:type="dxa"/>
            <w:gridSpan w:val="2"/>
            <w:vAlign w:val="center"/>
          </w:tcPr>
          <w:p>
            <w:pPr>
              <w:spacing w:line="360" w:lineRule="auto"/>
              <w:jc w:val="center"/>
              <w:rPr>
                <w:rFonts w:ascii="仿宋" w:hAnsi="仿宋" w:eastAsia="仿宋" w:cs="仿宋"/>
                <w:sz w:val="24"/>
              </w:rPr>
            </w:pPr>
            <w:r>
              <w:rPr>
                <w:rFonts w:hint="eastAsia" w:ascii="仿宋" w:hAnsi="仿宋" w:eastAsia="仿宋" w:cs="仿宋"/>
                <w:bCs/>
                <w:sz w:val="24"/>
              </w:rPr>
              <w:t>评   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4.1</w:t>
            </w:r>
          </w:p>
        </w:tc>
        <w:tc>
          <w:tcPr>
            <w:tcW w:w="7837" w:type="dxa"/>
            <w:vAlign w:val="center"/>
          </w:tcPr>
          <w:p>
            <w:pPr>
              <w:spacing w:line="360" w:lineRule="auto"/>
              <w:rPr>
                <w:rFonts w:ascii="仿宋" w:hAnsi="仿宋" w:eastAsia="仿宋" w:cs="仿宋"/>
                <w:sz w:val="24"/>
              </w:rPr>
            </w:pPr>
            <w:r>
              <w:rPr>
                <w:rFonts w:hint="eastAsia" w:ascii="仿宋" w:hAnsi="仿宋" w:eastAsia="仿宋" w:cs="仿宋"/>
                <w:sz w:val="24"/>
              </w:rPr>
              <w:t>评标方法：综合评分法（详见第五章）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9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4.2</w:t>
            </w:r>
          </w:p>
        </w:tc>
        <w:tc>
          <w:tcPr>
            <w:tcW w:w="7837" w:type="dxa"/>
            <w:vAlign w:val="center"/>
          </w:tcPr>
          <w:p>
            <w:pPr>
              <w:widowControl/>
              <w:ind w:right="57"/>
              <w:rPr>
                <w:rFonts w:ascii="仿宋" w:hAnsi="仿宋" w:eastAsia="仿宋" w:cs="仿宋"/>
                <w:bCs/>
                <w:kern w:val="0"/>
                <w:sz w:val="24"/>
              </w:rPr>
            </w:pPr>
            <w:r>
              <w:rPr>
                <w:rFonts w:hint="eastAsia" w:ascii="仿宋" w:hAnsi="仿宋" w:eastAsia="仿宋" w:cs="仿宋"/>
                <w:bCs/>
                <w:kern w:val="0"/>
                <w:sz w:val="24"/>
              </w:rPr>
              <w:t>评标委员会的组建：评标委员会人数： 5 人。</w:t>
            </w:r>
          </w:p>
          <w:p>
            <w:pPr>
              <w:widowControl/>
              <w:ind w:right="57"/>
              <w:rPr>
                <w:rFonts w:ascii="仿宋" w:hAnsi="仿宋" w:eastAsia="仿宋" w:cs="仿宋"/>
                <w:bCs/>
                <w:kern w:val="0"/>
                <w:sz w:val="24"/>
              </w:rPr>
            </w:pPr>
            <w:r>
              <w:rPr>
                <w:rFonts w:hint="eastAsia" w:ascii="仿宋" w:hAnsi="仿宋" w:eastAsia="仿宋" w:cs="仿宋"/>
                <w:bCs/>
                <w:kern w:val="0"/>
                <w:sz w:val="24"/>
              </w:rPr>
              <w:t>评标确定方式：</w:t>
            </w:r>
            <w:r>
              <w:rPr>
                <w:rFonts w:hint="eastAsia" w:ascii="仿宋" w:hAnsi="仿宋" w:eastAsia="仿宋" w:cs="仿宋"/>
                <w:bCs/>
                <w:kern w:val="0"/>
                <w:sz w:val="24"/>
                <w:lang w:val="en-US" w:eastAsia="zh-CN"/>
              </w:rPr>
              <w:t>医院内部</w:t>
            </w:r>
            <w:r>
              <w:rPr>
                <w:rFonts w:hint="eastAsia" w:ascii="仿宋" w:hAnsi="仿宋" w:eastAsia="仿宋" w:cs="仿宋"/>
                <w:bCs/>
                <w:kern w:val="0"/>
                <w:sz w:val="24"/>
              </w:rPr>
              <w:t>抽取。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576"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rPr>
              <w:t>4.3</w:t>
            </w:r>
          </w:p>
        </w:tc>
        <w:tc>
          <w:tcPr>
            <w:tcW w:w="7837" w:type="dxa"/>
            <w:vAlign w:val="center"/>
          </w:tcPr>
          <w:p>
            <w:pPr>
              <w:spacing w:line="288" w:lineRule="auto"/>
              <w:rPr>
                <w:rFonts w:ascii="仿宋" w:hAnsi="仿宋" w:eastAsia="仿宋" w:cs="仿宋"/>
                <w:sz w:val="24"/>
              </w:rPr>
            </w:pPr>
            <w:r>
              <w:rPr>
                <w:rFonts w:hint="eastAsia" w:ascii="仿宋" w:hAnsi="仿宋" w:eastAsia="仿宋" w:cs="仿宋"/>
                <w:sz w:val="24"/>
              </w:rPr>
              <w:t>开标程序：</w:t>
            </w:r>
          </w:p>
          <w:p>
            <w:pPr>
              <w:spacing w:line="288" w:lineRule="auto"/>
              <w:rPr>
                <w:rFonts w:ascii="仿宋" w:hAnsi="仿宋" w:eastAsia="仿宋" w:cs="仿宋"/>
                <w:sz w:val="24"/>
              </w:rPr>
            </w:pPr>
            <w:r>
              <w:rPr>
                <w:rFonts w:hint="eastAsia" w:ascii="仿宋" w:hAnsi="仿宋" w:eastAsia="仿宋" w:cs="仿宋"/>
                <w:sz w:val="24"/>
              </w:rPr>
              <w:t>（1）密封情况检查</w:t>
            </w:r>
          </w:p>
          <w:p>
            <w:pPr>
              <w:widowControl/>
              <w:ind w:right="57"/>
              <w:jc w:val="left"/>
              <w:rPr>
                <w:rFonts w:ascii="仿宋" w:hAnsi="仿宋" w:eastAsia="仿宋" w:cs="仿宋"/>
                <w:bCs/>
                <w:kern w:val="0"/>
                <w:sz w:val="24"/>
              </w:rPr>
            </w:pPr>
            <w:r>
              <w:rPr>
                <w:rFonts w:hint="eastAsia" w:ascii="仿宋" w:hAnsi="仿宋" w:eastAsia="仿宋" w:cs="仿宋"/>
                <w:sz w:val="24"/>
              </w:rPr>
              <w:t>（2）开标顺序：按投标文件递交先后顺序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317" w:hRule="atLeast"/>
          <w:jc w:val="center"/>
        </w:trPr>
        <w:tc>
          <w:tcPr>
            <w:tcW w:w="9030" w:type="dxa"/>
            <w:gridSpan w:val="2"/>
            <w:vAlign w:val="center"/>
          </w:tcPr>
          <w:p>
            <w:pPr>
              <w:spacing w:line="360" w:lineRule="auto"/>
              <w:jc w:val="center"/>
              <w:rPr>
                <w:rFonts w:ascii="仿宋" w:hAnsi="仿宋" w:eastAsia="仿宋" w:cs="仿宋"/>
                <w:b/>
                <w:sz w:val="24"/>
              </w:rPr>
            </w:pPr>
            <w:r>
              <w:rPr>
                <w:rFonts w:hint="eastAsia" w:ascii="仿宋" w:hAnsi="仿宋" w:eastAsia="仿宋" w:cs="仿宋"/>
                <w:bCs/>
                <w:sz w:val="24"/>
              </w:rPr>
              <w:t>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w:t>
            </w:r>
          </w:p>
        </w:tc>
        <w:tc>
          <w:tcPr>
            <w:tcW w:w="7837" w:type="dxa"/>
            <w:vAlign w:val="center"/>
          </w:tcPr>
          <w:p>
            <w:pPr>
              <w:spacing w:line="360" w:lineRule="exact"/>
              <w:jc w:val="left"/>
              <w:rPr>
                <w:rFonts w:ascii="仿宋" w:hAnsi="仿宋" w:eastAsia="仿宋" w:cs="仿宋"/>
                <w:sz w:val="24"/>
              </w:rPr>
            </w:pPr>
            <w:r>
              <w:rPr>
                <w:rFonts w:hint="eastAsia" w:ascii="仿宋" w:hAnsi="仿宋" w:eastAsia="仿宋" w:cs="仿宋"/>
                <w:sz w:val="24"/>
              </w:rPr>
              <w:t>投标文件没有响应招标文件以下要求的，按无效投标处理：</w:t>
            </w:r>
          </w:p>
          <w:p>
            <w:pPr>
              <w:spacing w:line="360" w:lineRule="exact"/>
              <w:jc w:val="left"/>
              <w:rPr>
                <w:rFonts w:ascii="仿宋" w:hAnsi="仿宋" w:eastAsia="仿宋" w:cs="仿宋"/>
                <w:sz w:val="24"/>
              </w:rPr>
            </w:pPr>
            <w:r>
              <w:rPr>
                <w:rFonts w:hint="eastAsia" w:ascii="仿宋" w:hAnsi="仿宋" w:eastAsia="仿宋" w:cs="仿宋"/>
                <w:sz w:val="24"/>
              </w:rPr>
              <w:t>1、不具备招标文件中规定资格要求的；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不符合法律、法规和招标文件中规定的其他实质性要求的；</w:t>
            </w:r>
          </w:p>
          <w:p>
            <w:pPr>
              <w:spacing w:line="360" w:lineRule="exact"/>
              <w:jc w:val="left"/>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、招标文件中规定的其它情形。</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w:t>
            </w:r>
          </w:p>
        </w:tc>
        <w:tc>
          <w:tcPr>
            <w:tcW w:w="7837" w:type="dxa"/>
            <w:vAlign w:val="center"/>
          </w:tcPr>
          <w:p>
            <w:pPr>
              <w:spacing w:line="360" w:lineRule="auto"/>
              <w:jc w:val="left"/>
              <w:rPr>
                <w:rFonts w:ascii="仿宋" w:hAnsi="仿宋" w:eastAsia="仿宋" w:cs="仿宋"/>
                <w:sz w:val="24"/>
              </w:rPr>
            </w:pPr>
            <w:r>
              <w:rPr>
                <w:rFonts w:hint="eastAsia" w:ascii="仿宋" w:hAnsi="仿宋" w:eastAsia="仿宋" w:cs="仿宋"/>
                <w:sz w:val="24"/>
              </w:rPr>
              <w:t>付款方式、付款时间、条件：由采购人与中标人自行商议决定（具体以供货合同为准）。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.3</w:t>
            </w:r>
          </w:p>
        </w:tc>
        <w:tc>
          <w:tcPr>
            <w:tcW w:w="7837" w:type="dxa"/>
            <w:vAlign w:val="center"/>
          </w:tcPr>
          <w:p>
            <w:pPr>
              <w:spacing w:line="240" w:lineRule="atLeast"/>
              <w:rPr>
                <w:rFonts w:ascii="仿宋" w:hAnsi="仿宋" w:eastAsia="仿宋" w:cs="仿宋"/>
                <w:sz w:val="24"/>
              </w:rPr>
            </w:pPr>
            <w:r>
              <w:rPr>
                <w:rFonts w:hint="eastAsia" w:ascii="仿宋" w:hAnsi="仿宋" w:eastAsia="仿宋" w:cs="仿宋"/>
                <w:sz w:val="24"/>
              </w:rPr>
              <w:t>中标结果公示媒介：</w:t>
            </w:r>
            <w:r>
              <w:rPr>
                <w:rFonts w:hint="eastAsia" w:ascii="仿宋" w:hAnsi="仿宋" w:eastAsia="仿宋" w:cs="仿宋"/>
                <w:sz w:val="24"/>
                <w:lang w:val="en-US" w:eastAsia="zh-CN"/>
              </w:rPr>
              <w:t>西藏康城肿瘤医院官</w:t>
            </w:r>
            <w:r>
              <w:rPr>
                <w:rFonts w:hint="eastAsia" w:ascii="仿宋" w:hAnsi="仿宋" w:eastAsia="仿宋" w:cs="仿宋"/>
                <w:sz w:val="24"/>
              </w:rPr>
              <w:t>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trHeight w:val="470" w:hRule="atLeast"/>
          <w:jc w:val="center"/>
        </w:trPr>
        <w:tc>
          <w:tcPr>
            <w:tcW w:w="1193"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lang w:val="en-US" w:eastAsia="zh-CN"/>
              </w:rPr>
              <w:t>6.4</w:t>
            </w:r>
          </w:p>
        </w:tc>
        <w:tc>
          <w:tcPr>
            <w:tcW w:w="7837" w:type="dxa"/>
            <w:vAlign w:val="center"/>
          </w:tcPr>
          <w:p>
            <w:pPr>
              <w:spacing w:line="360" w:lineRule="auto"/>
              <w:jc w:val="left"/>
              <w:rPr>
                <w:rFonts w:hint="eastAsia" w:ascii="仿宋" w:hAnsi="仿宋" w:eastAsia="仿宋" w:cs="仿宋"/>
                <w:color w:val="000000"/>
                <w:kern w:val="0"/>
                <w:sz w:val="24"/>
                <w:szCs w:val="24"/>
                <w:lang w:val="en-US" w:eastAsia="zh-CN" w:bidi="ar-SA"/>
              </w:rPr>
            </w:pPr>
            <w:r>
              <w:rPr>
                <w:rFonts w:hint="eastAsia"/>
              </w:rPr>
              <w:t>需</w:t>
            </w:r>
            <w:r>
              <w:rPr>
                <w:rFonts w:hint="eastAsia" w:ascii="仿宋" w:hAnsi="仿宋" w:eastAsia="仿宋" w:cs="仿宋"/>
                <w:color w:val="000000"/>
                <w:kern w:val="0"/>
                <w:sz w:val="24"/>
                <w:szCs w:val="24"/>
                <w:lang w:val="en-US" w:eastAsia="zh-CN" w:bidi="ar-SA"/>
              </w:rPr>
              <w:t>要补充的其他内容：</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1、本次采购所涉及的货物及服务，投标人投标报价里应包含货物费用、服务费用</w:t>
            </w:r>
            <w:r>
              <w:rPr>
                <w:rFonts w:hint="eastAsia" w:ascii="仿宋" w:hAnsi="仿宋" w:eastAsia="仿宋" w:cs="仿宋"/>
                <w:color w:val="000000"/>
                <w:kern w:val="0"/>
                <w:sz w:val="24"/>
                <w:szCs w:val="24"/>
                <w:lang w:val="zh-CN" w:eastAsia="zh-CN" w:bidi="ar-SA"/>
              </w:rPr>
              <w:t>、管理费用等以及其他不可预见</w:t>
            </w:r>
            <w:r>
              <w:rPr>
                <w:rFonts w:hint="eastAsia" w:ascii="仿宋" w:hAnsi="仿宋" w:eastAsia="仿宋" w:cs="仿宋"/>
                <w:color w:val="000000"/>
                <w:kern w:val="0"/>
                <w:sz w:val="24"/>
                <w:szCs w:val="24"/>
                <w:lang w:val="en-US" w:eastAsia="zh-CN" w:bidi="ar-SA"/>
              </w:rPr>
              <w:t>费用。供货地点为采购人指定地点，投标人在报价时需考虑以上各项因素。</w:t>
            </w:r>
          </w:p>
          <w:p>
            <w:pPr>
              <w:spacing w:line="360" w:lineRule="auto"/>
              <w:jc w:val="left"/>
              <w:rPr>
                <w:rFonts w:hint="eastAsia"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2、中标单位需在中标通知书发出的3个工作日内与业主单位联系，沟通签订合同及其他前期事宜。</w:t>
            </w:r>
          </w:p>
          <w:p>
            <w:pPr>
              <w:pStyle w:val="2"/>
              <w:rPr>
                <w:rFonts w:hint="default" w:eastAsia="仿宋"/>
                <w:lang w:val="en-US" w:eastAsia="zh-CN"/>
              </w:rPr>
            </w:pPr>
            <w:r>
              <w:rPr>
                <w:rFonts w:hint="eastAsia" w:ascii="仿宋" w:hAnsi="仿宋" w:eastAsia="仿宋" w:cs="仿宋"/>
                <w:sz w:val="24"/>
                <w:lang w:val="en-US" w:eastAsia="zh-CN"/>
              </w:rPr>
              <w:t>3、本次招标采购清单以及报清单以内的同类产品（同类产品有多少厂家的均可以投标）。</w:t>
            </w:r>
          </w:p>
        </w:tc>
      </w:tr>
    </w:tbl>
    <w:p>
      <w:pPr>
        <w:pStyle w:val="3"/>
        <w:jc w:val="center"/>
      </w:pPr>
      <w:bookmarkStart w:id="32" w:name="_Toc88466027"/>
      <w:bookmarkStart w:id="33" w:name="_Toc12825"/>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jc w:val="center"/>
      </w:pPr>
      <w:bookmarkStart w:id="34" w:name="_Toc87205232"/>
      <w:r>
        <w:rPr>
          <w:rFonts w:hint="eastAsia"/>
        </w:rPr>
        <w:t>第三章 投标人须知</w:t>
      </w:r>
      <w:bookmarkEnd w:id="32"/>
      <w:bookmarkEnd w:id="33"/>
      <w:bookmarkEnd w:id="34"/>
      <w:bookmarkStart w:id="35" w:name="_Toc49019485"/>
      <w:bookmarkStart w:id="36" w:name="_Toc47416185"/>
      <w:bookmarkStart w:id="37" w:name="_Toc49019224"/>
      <w:bookmarkStart w:id="38" w:name="_Toc47415931"/>
    </w:p>
    <w:bookmarkEnd w:id="35"/>
    <w:bookmarkEnd w:id="36"/>
    <w:bookmarkEnd w:id="37"/>
    <w:bookmarkEnd w:id="38"/>
    <w:p>
      <w:pPr>
        <w:tabs>
          <w:tab w:val="left" w:pos="525"/>
          <w:tab w:val="left" w:pos="705"/>
        </w:tabs>
        <w:adjustRightInd w:val="0"/>
        <w:spacing w:line="360" w:lineRule="auto"/>
        <w:jc w:val="center"/>
        <w:outlineLvl w:val="2"/>
        <w:rPr>
          <w:rFonts w:ascii="仿宋" w:hAnsi="仿宋" w:eastAsia="仿宋" w:cs="仿宋"/>
          <w:b/>
          <w:sz w:val="24"/>
        </w:rPr>
      </w:pPr>
      <w:bookmarkStart w:id="39" w:name="_Toc87205233"/>
      <w:bookmarkStart w:id="40" w:name="_Toc47364300"/>
      <w:bookmarkStart w:id="41" w:name="_Toc49019486"/>
      <w:bookmarkStart w:id="42" w:name="_Toc49019225"/>
      <w:bookmarkStart w:id="43" w:name="_Toc47415932"/>
      <w:bookmarkStart w:id="44" w:name="_Toc47416186"/>
      <w:r>
        <w:rPr>
          <w:rFonts w:hint="eastAsia" w:ascii="仿宋" w:hAnsi="仿宋" w:eastAsia="仿宋" w:cs="仿宋"/>
          <w:b/>
          <w:sz w:val="24"/>
        </w:rPr>
        <w:t>一、总则</w:t>
      </w:r>
      <w:bookmarkEnd w:id="39"/>
      <w:bookmarkEnd w:id="40"/>
    </w:p>
    <w:p>
      <w:pPr>
        <w:tabs>
          <w:tab w:val="left" w:pos="525"/>
          <w:tab w:val="left" w:pos="705"/>
        </w:tabs>
        <w:adjustRightInd w:val="0"/>
        <w:spacing w:line="360" w:lineRule="auto"/>
        <w:outlineLvl w:val="2"/>
        <w:rPr>
          <w:rFonts w:ascii="仿宋" w:hAnsi="仿宋" w:eastAsia="仿宋" w:cs="仿宋"/>
          <w:b/>
          <w:sz w:val="24"/>
        </w:rPr>
      </w:pPr>
      <w:bookmarkStart w:id="45" w:name="_Toc87205234"/>
      <w:bookmarkStart w:id="46" w:name="_Toc47364301"/>
      <w:r>
        <w:rPr>
          <w:rFonts w:hint="eastAsia" w:ascii="仿宋" w:hAnsi="仿宋" w:eastAsia="仿宋" w:cs="仿宋"/>
          <w:b/>
          <w:sz w:val="24"/>
        </w:rPr>
        <w:t>1.适用范围及编制依据</w:t>
      </w:r>
      <w:bookmarkEnd w:id="45"/>
      <w:bookmarkEnd w:id="46"/>
    </w:p>
    <w:p>
      <w:pPr>
        <w:adjustRightInd w:val="0"/>
        <w:spacing w:line="360" w:lineRule="auto"/>
        <w:rPr>
          <w:rFonts w:ascii="仿宋" w:hAnsi="仿宋" w:eastAsia="仿宋" w:cs="仿宋"/>
          <w:sz w:val="24"/>
        </w:rPr>
      </w:pPr>
      <w:r>
        <w:rPr>
          <w:rFonts w:hint="eastAsia" w:ascii="仿宋" w:hAnsi="仿宋" w:eastAsia="仿宋" w:cs="仿宋"/>
          <w:sz w:val="24"/>
        </w:rPr>
        <w:t>1.1 本招标文件仅适用于本项目投标邀请中所叙述的招标项目。</w:t>
      </w:r>
    </w:p>
    <w:p>
      <w:pPr>
        <w:tabs>
          <w:tab w:val="left" w:pos="525"/>
          <w:tab w:val="left" w:pos="705"/>
        </w:tabs>
        <w:adjustRightInd w:val="0"/>
        <w:spacing w:line="360" w:lineRule="auto"/>
        <w:outlineLvl w:val="2"/>
        <w:rPr>
          <w:rFonts w:ascii="仿宋" w:hAnsi="仿宋" w:eastAsia="仿宋" w:cs="仿宋"/>
          <w:b/>
          <w:sz w:val="24"/>
        </w:rPr>
      </w:pPr>
      <w:bookmarkStart w:id="47" w:name="_Toc87205235"/>
      <w:bookmarkStart w:id="48" w:name="_Toc47364302"/>
      <w:r>
        <w:rPr>
          <w:rFonts w:hint="eastAsia" w:ascii="仿宋" w:hAnsi="仿宋" w:eastAsia="仿宋" w:cs="仿宋"/>
          <w:b/>
          <w:sz w:val="24"/>
        </w:rPr>
        <w:t>2.定义</w:t>
      </w:r>
      <w:bookmarkEnd w:id="47"/>
      <w:bookmarkEnd w:id="48"/>
    </w:p>
    <w:p>
      <w:pPr>
        <w:adjustRightInd w:val="0"/>
        <w:spacing w:line="360" w:lineRule="auto"/>
        <w:rPr>
          <w:rFonts w:ascii="仿宋" w:hAnsi="仿宋" w:eastAsia="仿宋" w:cs="仿宋"/>
          <w:sz w:val="24"/>
        </w:rPr>
      </w:pPr>
      <w:r>
        <w:rPr>
          <w:rFonts w:hint="eastAsia" w:ascii="仿宋" w:hAnsi="仿宋" w:eastAsia="仿宋" w:cs="仿宋"/>
          <w:sz w:val="24"/>
        </w:rPr>
        <w:t>2.1 “采购人”指本项目的单位。</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 xml:space="preserve">2 </w:t>
      </w:r>
      <w:r>
        <w:rPr>
          <w:rFonts w:hint="eastAsia" w:ascii="仿宋" w:hAnsi="仿宋" w:eastAsia="仿宋" w:cs="仿宋"/>
          <w:sz w:val="24"/>
        </w:rPr>
        <w:t>“日”指日历天。</w:t>
      </w:r>
    </w:p>
    <w:p>
      <w:pPr>
        <w:tabs>
          <w:tab w:val="left" w:pos="525"/>
          <w:tab w:val="left" w:pos="705"/>
        </w:tabs>
        <w:adjustRightInd w:val="0"/>
        <w:spacing w:line="360" w:lineRule="auto"/>
        <w:outlineLvl w:val="2"/>
        <w:rPr>
          <w:rFonts w:ascii="仿宋" w:hAnsi="仿宋" w:eastAsia="仿宋" w:cs="仿宋"/>
          <w:b/>
          <w:sz w:val="24"/>
        </w:rPr>
      </w:pPr>
      <w:bookmarkStart w:id="49" w:name="_Toc47364303"/>
      <w:bookmarkStart w:id="50" w:name="_Toc87205236"/>
      <w:r>
        <w:rPr>
          <w:rFonts w:hint="eastAsia" w:ascii="仿宋" w:hAnsi="仿宋" w:eastAsia="仿宋" w:cs="仿宋"/>
          <w:b/>
          <w:sz w:val="24"/>
        </w:rPr>
        <w:t>3.投标费用</w:t>
      </w:r>
      <w:bookmarkEnd w:id="49"/>
      <w:bookmarkEnd w:id="50"/>
    </w:p>
    <w:p>
      <w:pPr>
        <w:pStyle w:val="14"/>
        <w:adjustRightInd w:val="0"/>
        <w:spacing w:after="0" w:line="360" w:lineRule="auto"/>
        <w:ind w:left="0" w:leftChars="0"/>
        <w:rPr>
          <w:rFonts w:ascii="仿宋" w:hAnsi="仿宋" w:eastAsia="仿宋" w:cs="仿宋"/>
          <w:sz w:val="24"/>
        </w:rPr>
      </w:pPr>
      <w:r>
        <w:rPr>
          <w:rFonts w:hint="eastAsia" w:ascii="仿宋" w:hAnsi="仿宋" w:eastAsia="仿宋" w:cs="仿宋"/>
          <w:sz w:val="24"/>
        </w:rPr>
        <w:t>投标人应承担所有与本次投标有关的费用，不论投标的结果如何，招标方在任何情况下均无义务和责任承担这些费用。</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二、招标文件说明</w:t>
      </w:r>
    </w:p>
    <w:p>
      <w:pPr>
        <w:tabs>
          <w:tab w:val="left" w:pos="525"/>
          <w:tab w:val="left" w:pos="705"/>
        </w:tabs>
        <w:adjustRightInd w:val="0"/>
        <w:spacing w:line="360" w:lineRule="auto"/>
        <w:outlineLvl w:val="2"/>
        <w:rPr>
          <w:rFonts w:ascii="仿宋" w:hAnsi="仿宋" w:eastAsia="仿宋" w:cs="仿宋"/>
          <w:b/>
          <w:sz w:val="24"/>
        </w:rPr>
      </w:pPr>
      <w:bookmarkStart w:id="51" w:name="_Toc47364304"/>
      <w:bookmarkStart w:id="52" w:name="_Toc87205237"/>
      <w:r>
        <w:rPr>
          <w:rFonts w:hint="eastAsia" w:ascii="仿宋" w:hAnsi="仿宋" w:eastAsia="仿宋" w:cs="仿宋"/>
          <w:b/>
          <w:sz w:val="24"/>
        </w:rPr>
        <w:t>4.招标文件的法律效力</w:t>
      </w:r>
      <w:bookmarkEnd w:id="51"/>
      <w:bookmarkEnd w:id="52"/>
    </w:p>
    <w:p>
      <w:pPr>
        <w:adjustRightInd w:val="0"/>
        <w:spacing w:line="360" w:lineRule="auto"/>
        <w:rPr>
          <w:rFonts w:ascii="仿宋" w:hAnsi="仿宋" w:eastAsia="仿宋" w:cs="仿宋"/>
          <w:sz w:val="24"/>
          <w:highlight w:val="yellow"/>
        </w:rPr>
      </w:pPr>
      <w:r>
        <w:rPr>
          <w:rFonts w:hint="eastAsia" w:ascii="仿宋" w:hAnsi="仿宋" w:eastAsia="仿宋" w:cs="仿宋"/>
          <w:sz w:val="24"/>
        </w:rPr>
        <w:t>本招标文件阐明了投标人所需提供的货物及服务的范围和招标投标的程序，是本次招标活动具有法律效力的文件。投标人应认真阅读招标文件中所有的事项、格式条款和规范等要求，否则，出现的相关不利后果，由投标人自行承担相关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三、投标文件编写</w:t>
      </w:r>
    </w:p>
    <w:p>
      <w:pPr>
        <w:adjustRightInd w:val="0"/>
        <w:spacing w:line="360" w:lineRule="auto"/>
        <w:rPr>
          <w:rFonts w:ascii="仿宋" w:hAnsi="仿宋" w:eastAsia="仿宋" w:cs="仿宋"/>
          <w:b/>
          <w:sz w:val="24"/>
        </w:rPr>
      </w:pPr>
      <w:r>
        <w:rPr>
          <w:rFonts w:hint="eastAsia" w:ascii="仿宋" w:hAnsi="仿宋" w:eastAsia="仿宋" w:cs="仿宋"/>
          <w:b/>
          <w:sz w:val="24"/>
          <w:lang w:val="en-US" w:eastAsia="zh-CN"/>
        </w:rPr>
        <w:t>5</w:t>
      </w:r>
      <w:r>
        <w:rPr>
          <w:rFonts w:hint="eastAsia" w:ascii="仿宋" w:hAnsi="仿宋" w:eastAsia="仿宋" w:cs="仿宋"/>
          <w:b/>
          <w:sz w:val="24"/>
        </w:rPr>
        <w:t>.投标文件的语言</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.1 投标人提交的投标文件以及投标人与招标采购单位就有关投标的所有来往书面文件均须使用中文。投标文件中如附有外文资料，必须逐一对应翻译成中文并加盖投标人公章后附在相关外文资料后面，否则，投标人的投标文件将作为无效投标处理。</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.2 翻译的中文资料与外文资料如果出现差异和矛盾时，以中文为准。但不能故意错误翻译，否则，投标人的投标文件将作为无效投标处理。</w:t>
      </w:r>
    </w:p>
    <w:p>
      <w:pPr>
        <w:tabs>
          <w:tab w:val="left" w:pos="525"/>
          <w:tab w:val="left" w:pos="705"/>
        </w:tabs>
        <w:adjustRightInd w:val="0"/>
        <w:spacing w:line="360" w:lineRule="auto"/>
        <w:outlineLvl w:val="2"/>
        <w:rPr>
          <w:rFonts w:ascii="仿宋" w:hAnsi="仿宋" w:eastAsia="仿宋" w:cs="仿宋"/>
          <w:b/>
          <w:sz w:val="24"/>
        </w:rPr>
      </w:pPr>
      <w:bookmarkStart w:id="53" w:name="_Toc47364306"/>
      <w:bookmarkStart w:id="54" w:name="_Toc87205239"/>
      <w:r>
        <w:rPr>
          <w:rFonts w:hint="eastAsia" w:ascii="仿宋" w:hAnsi="仿宋" w:eastAsia="仿宋" w:cs="仿宋"/>
          <w:b/>
          <w:sz w:val="24"/>
          <w:lang w:val="en-US" w:eastAsia="zh-CN"/>
        </w:rPr>
        <w:t>6</w:t>
      </w:r>
      <w:r>
        <w:rPr>
          <w:rFonts w:hint="eastAsia" w:ascii="仿宋" w:hAnsi="仿宋" w:eastAsia="仿宋" w:cs="仿宋"/>
          <w:b/>
          <w:sz w:val="24"/>
        </w:rPr>
        <w:t>.计量单位</w:t>
      </w:r>
      <w:bookmarkEnd w:id="53"/>
      <w:bookmarkEnd w:id="54"/>
    </w:p>
    <w:p>
      <w:pPr>
        <w:pStyle w:val="18"/>
        <w:adjustRightInd w:val="0"/>
        <w:snapToGrid/>
        <w:spacing w:line="360" w:lineRule="auto"/>
        <w:ind w:left="0" w:leftChars="0"/>
        <w:rPr>
          <w:rFonts w:ascii="仿宋" w:hAnsi="仿宋" w:eastAsia="仿宋" w:cs="仿宋"/>
          <w:sz w:val="24"/>
        </w:rPr>
      </w:pPr>
      <w:r>
        <w:rPr>
          <w:rFonts w:hint="eastAsia" w:ascii="仿宋" w:hAnsi="仿宋" w:eastAsia="仿宋" w:cs="仿宋"/>
          <w:sz w:val="24"/>
        </w:rPr>
        <w:t>计量单位应当使用中华人民共和国法定计量单位，招标文件的技术要求中另有规定的除外。</w:t>
      </w:r>
    </w:p>
    <w:p>
      <w:pPr>
        <w:tabs>
          <w:tab w:val="left" w:pos="525"/>
          <w:tab w:val="left" w:pos="705"/>
        </w:tabs>
        <w:adjustRightInd w:val="0"/>
        <w:spacing w:line="360" w:lineRule="auto"/>
        <w:outlineLvl w:val="2"/>
        <w:rPr>
          <w:rFonts w:ascii="仿宋" w:hAnsi="仿宋" w:eastAsia="仿宋" w:cs="仿宋"/>
          <w:b/>
          <w:sz w:val="24"/>
        </w:rPr>
      </w:pPr>
      <w:bookmarkStart w:id="55" w:name="_Toc87205240"/>
      <w:bookmarkStart w:id="56" w:name="_Toc47364307"/>
      <w:r>
        <w:rPr>
          <w:rFonts w:hint="eastAsia" w:ascii="仿宋" w:hAnsi="仿宋" w:eastAsia="仿宋" w:cs="仿宋"/>
          <w:b/>
          <w:sz w:val="24"/>
          <w:lang w:val="en-US" w:eastAsia="zh-CN"/>
        </w:rPr>
        <w:t>7</w:t>
      </w:r>
      <w:r>
        <w:rPr>
          <w:rFonts w:hint="eastAsia" w:ascii="仿宋" w:hAnsi="仿宋" w:eastAsia="仿宋" w:cs="仿宋"/>
          <w:b/>
          <w:sz w:val="24"/>
        </w:rPr>
        <w:t>.投标报价</w:t>
      </w:r>
      <w:bookmarkEnd w:id="55"/>
      <w:bookmarkEnd w:id="56"/>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.1 投标</w:t>
      </w:r>
      <w:r>
        <w:rPr>
          <w:rFonts w:hint="eastAsia" w:ascii="仿宋" w:hAnsi="仿宋" w:eastAsia="仿宋" w:cs="仿宋"/>
          <w:sz w:val="24"/>
          <w:lang w:val="en-US" w:eastAsia="zh-CN"/>
        </w:rPr>
        <w:t>单产品</w:t>
      </w:r>
      <w:r>
        <w:rPr>
          <w:rFonts w:hint="eastAsia" w:ascii="仿宋" w:hAnsi="仿宋" w:eastAsia="仿宋" w:cs="仿宋"/>
          <w:sz w:val="24"/>
        </w:rPr>
        <w:t>总价包括投标人为完成本项目所发生的一切费用，估算错误或漏项的风险由投标人自行承担。</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7</w:t>
      </w:r>
      <w:r>
        <w:rPr>
          <w:rFonts w:hint="eastAsia" w:ascii="仿宋" w:hAnsi="仿宋" w:eastAsia="仿宋" w:cs="仿宋"/>
          <w:sz w:val="24"/>
        </w:rPr>
        <w:t>.</w:t>
      </w:r>
      <w:r>
        <w:rPr>
          <w:rFonts w:hint="eastAsia" w:ascii="仿宋" w:hAnsi="仿宋" w:eastAsia="仿宋" w:cs="仿宋"/>
          <w:sz w:val="24"/>
          <w:lang w:val="en-US" w:eastAsia="zh-CN"/>
        </w:rPr>
        <w:t xml:space="preserve">2 </w:t>
      </w:r>
      <w:r>
        <w:rPr>
          <w:rFonts w:hint="eastAsia" w:ascii="仿宋" w:hAnsi="仿宋" w:eastAsia="仿宋" w:cs="仿宋"/>
          <w:sz w:val="24"/>
        </w:rPr>
        <w:t>最低报价不能作为中标的保证。</w:t>
      </w:r>
    </w:p>
    <w:p>
      <w:pPr>
        <w:tabs>
          <w:tab w:val="left" w:pos="525"/>
          <w:tab w:val="left" w:pos="705"/>
        </w:tabs>
        <w:adjustRightInd w:val="0"/>
        <w:spacing w:line="360" w:lineRule="auto"/>
        <w:outlineLvl w:val="2"/>
        <w:rPr>
          <w:rFonts w:ascii="仿宋" w:hAnsi="仿宋" w:eastAsia="仿宋" w:cs="仿宋"/>
          <w:b/>
          <w:sz w:val="24"/>
        </w:rPr>
      </w:pPr>
      <w:bookmarkStart w:id="57" w:name="_Toc47364308"/>
      <w:bookmarkStart w:id="58" w:name="_Toc87205241"/>
      <w:r>
        <w:rPr>
          <w:rFonts w:hint="eastAsia" w:ascii="仿宋" w:hAnsi="仿宋" w:eastAsia="仿宋" w:cs="仿宋"/>
          <w:b/>
          <w:sz w:val="24"/>
          <w:lang w:val="en-US" w:eastAsia="zh-CN"/>
        </w:rPr>
        <w:t>8</w:t>
      </w:r>
      <w:r>
        <w:rPr>
          <w:rFonts w:hint="eastAsia" w:ascii="仿宋" w:hAnsi="仿宋" w:eastAsia="仿宋" w:cs="仿宋"/>
          <w:b/>
          <w:sz w:val="24"/>
        </w:rPr>
        <w:t>.投标货币</w:t>
      </w:r>
      <w:bookmarkEnd w:id="57"/>
      <w:bookmarkEnd w:id="58"/>
    </w:p>
    <w:p>
      <w:pPr>
        <w:adjustRightInd w:val="0"/>
        <w:spacing w:line="360" w:lineRule="auto"/>
        <w:rPr>
          <w:rFonts w:ascii="仿宋" w:hAnsi="仿宋" w:eastAsia="仿宋" w:cs="仿宋"/>
          <w:sz w:val="24"/>
        </w:rPr>
      </w:pPr>
      <w:r>
        <w:rPr>
          <w:rFonts w:hint="eastAsia" w:ascii="仿宋" w:hAnsi="仿宋" w:eastAsia="仿宋" w:cs="仿宋"/>
          <w:sz w:val="24"/>
        </w:rPr>
        <w:t>投标人应以人民币填报投标报价，合同履行时采购人亦以人民币支付。</w:t>
      </w:r>
    </w:p>
    <w:p>
      <w:pPr>
        <w:tabs>
          <w:tab w:val="left" w:pos="525"/>
          <w:tab w:val="left" w:pos="705"/>
        </w:tabs>
        <w:adjustRightInd w:val="0"/>
        <w:spacing w:line="360" w:lineRule="auto"/>
        <w:outlineLvl w:val="2"/>
        <w:rPr>
          <w:rFonts w:hint="eastAsia" w:ascii="仿宋" w:hAnsi="仿宋" w:eastAsia="仿宋" w:cs="仿宋"/>
          <w:b/>
          <w:sz w:val="24"/>
          <w:lang w:val="en-US" w:eastAsia="zh-CN"/>
        </w:rPr>
      </w:pPr>
      <w:r>
        <w:rPr>
          <w:rFonts w:hint="eastAsia" w:ascii="仿宋" w:hAnsi="仿宋" w:eastAsia="仿宋" w:cs="仿宋"/>
          <w:b/>
          <w:sz w:val="24"/>
          <w:lang w:val="en-US" w:eastAsia="zh-CN"/>
        </w:rPr>
        <w:t>9.投标有效期</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.1 投标人投标有效期短于招标文件规定期限的，将被视为非响应投标而按照无效投标处理。</w:t>
      </w:r>
    </w:p>
    <w:p>
      <w:pPr>
        <w:adjustRightInd w:val="0"/>
        <w:spacing w:line="360" w:lineRule="auto"/>
        <w:rPr>
          <w:rFonts w:hint="eastAsia" w:ascii="仿宋" w:hAnsi="仿宋" w:eastAsia="仿宋" w:cs="仿宋"/>
          <w:sz w:val="24"/>
        </w:rPr>
      </w:pPr>
      <w:r>
        <w:rPr>
          <w:rFonts w:hint="eastAsia" w:ascii="仿宋" w:hAnsi="仿宋" w:eastAsia="仿宋" w:cs="仿宋"/>
          <w:sz w:val="24"/>
          <w:lang w:val="en-US" w:eastAsia="zh-CN"/>
        </w:rPr>
        <w:t>9</w:t>
      </w:r>
      <w:r>
        <w:rPr>
          <w:rFonts w:hint="eastAsia" w:ascii="仿宋" w:hAnsi="仿宋" w:eastAsia="仿宋" w:cs="仿宋"/>
          <w:sz w:val="24"/>
        </w:rPr>
        <w:t>.2 在特殊情况下，在原投标有效期期满之前，采购代理机构可以要求投标人延长投标有效期。这种要求与答复均应以书面形式进行。在此种情况下，投标人不得修改投标文件的其它内容。投标人不同意延长投标有效期的，将被按照无效投标处理。</w:t>
      </w:r>
    </w:p>
    <w:p>
      <w:pPr>
        <w:tabs>
          <w:tab w:val="left" w:pos="525"/>
          <w:tab w:val="left" w:pos="705"/>
        </w:tabs>
        <w:adjustRightInd w:val="0"/>
        <w:spacing w:line="360" w:lineRule="auto"/>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0</w:t>
      </w:r>
      <w:r>
        <w:rPr>
          <w:rFonts w:hint="eastAsia" w:ascii="仿宋" w:hAnsi="仿宋" w:eastAsia="仿宋" w:cs="仿宋"/>
          <w:b/>
          <w:sz w:val="24"/>
        </w:rPr>
        <w:t>.投标文件的签署</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.1 投标人应按投标人须知前附表中的规定准备和递交投标文件正本、副本和电子</w:t>
      </w:r>
    </w:p>
    <w:p>
      <w:pPr>
        <w:spacing w:line="360" w:lineRule="auto"/>
        <w:rPr>
          <w:rFonts w:ascii="仿宋" w:hAnsi="仿宋" w:eastAsia="仿宋" w:cs="仿宋"/>
          <w:sz w:val="24"/>
        </w:rPr>
      </w:pPr>
      <w:r>
        <w:rPr>
          <w:rFonts w:hint="eastAsia" w:ascii="仿宋" w:hAnsi="仿宋" w:eastAsia="仿宋" w:cs="仿宋"/>
          <w:sz w:val="24"/>
        </w:rPr>
        <w:t>文档，每份纸质投标文件须清楚地标明“正本”或“副本”。若正本和副本不符，以正本为准。</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.2 投标文件的正本需打印或用不褪色墨水书写，并由投标人的法定代表人或经其正式授权的代表按招标文件规定在投标文件上签字并加盖单位印章。授权代表须持有书面的“法定代表人授权书”（标准格式附后），并将其附在投标文件中。投标文件的副本可采用正本的复印件。</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.3 所有投标文件采用不可拆装的胶装方式装订。</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.4 任何行间插字、涂改和增删，必须由供应商的法定代表人或经其正式授权的代</w:t>
      </w:r>
    </w:p>
    <w:p>
      <w:pPr>
        <w:spacing w:line="360" w:lineRule="auto"/>
        <w:rPr>
          <w:rFonts w:ascii="仿宋" w:hAnsi="仿宋" w:eastAsia="仿宋" w:cs="仿宋"/>
          <w:sz w:val="24"/>
        </w:rPr>
      </w:pPr>
      <w:r>
        <w:rPr>
          <w:rFonts w:hint="eastAsia" w:ascii="仿宋" w:hAnsi="仿宋" w:eastAsia="仿宋" w:cs="仿宋"/>
          <w:sz w:val="24"/>
        </w:rPr>
        <w:t>表签字或盖章后才有效。</w:t>
      </w:r>
    </w:p>
    <w:p>
      <w:pPr>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.5 投标文件因字迹潦草、表达不清或装订不当所引起的后果由供应商负责。</w:t>
      </w:r>
    </w:p>
    <w:p>
      <w:pPr>
        <w:tabs>
          <w:tab w:val="left" w:pos="4265"/>
          <w:tab w:val="left" w:pos="6816"/>
        </w:tabs>
        <w:adjustRightInd w:val="0"/>
        <w:spacing w:line="360" w:lineRule="auto"/>
        <w:jc w:val="center"/>
        <w:rPr>
          <w:rFonts w:ascii="仿宋" w:hAnsi="仿宋" w:eastAsia="仿宋" w:cs="仿宋"/>
          <w:b/>
          <w:bCs/>
          <w:sz w:val="24"/>
        </w:rPr>
      </w:pPr>
      <w:r>
        <w:rPr>
          <w:rFonts w:hint="eastAsia" w:ascii="仿宋" w:hAnsi="仿宋" w:eastAsia="仿宋" w:cs="仿宋"/>
          <w:b/>
          <w:bCs/>
          <w:sz w:val="24"/>
        </w:rPr>
        <w:t>四、投标文件的递交</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 投标文件的密封和标记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.1 投标时，投标人应将投标文件正本和副本分开单独密封，且在封皮正面标明“正</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本”或“副本”字样。</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w:t>
      </w:r>
      <w:r>
        <w:rPr>
          <w:rFonts w:hint="eastAsia" w:ascii="仿宋" w:hAnsi="仿宋" w:eastAsia="仿宋" w:cs="仿宋"/>
          <w:bCs/>
          <w:sz w:val="24"/>
          <w:lang w:val="en-US" w:eastAsia="zh-CN"/>
        </w:rPr>
        <w:t>1</w:t>
      </w:r>
      <w:r>
        <w:rPr>
          <w:rFonts w:hint="eastAsia" w:ascii="仿宋" w:hAnsi="仿宋" w:eastAsia="仿宋" w:cs="仿宋"/>
          <w:bCs/>
          <w:sz w:val="24"/>
        </w:rPr>
        <w:t>.</w:t>
      </w:r>
      <w:r>
        <w:rPr>
          <w:rFonts w:hint="eastAsia" w:ascii="仿宋" w:hAnsi="仿宋" w:eastAsia="仿宋" w:cs="仿宋"/>
          <w:bCs/>
          <w:sz w:val="24"/>
          <w:lang w:val="en-US" w:eastAsia="zh-CN"/>
        </w:rPr>
        <w:t>2</w:t>
      </w:r>
      <w:r>
        <w:rPr>
          <w:rFonts w:hint="eastAsia" w:ascii="仿宋" w:hAnsi="仿宋" w:eastAsia="仿宋" w:cs="仿宋"/>
          <w:bCs/>
          <w:sz w:val="24"/>
        </w:rPr>
        <w:t xml:space="preserve"> 所有包装封皮和信封上均应：</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（1）注明招标公告或投标邀请书中指明的项目名称、项目编号、投标人名称、业主单位名称。</w:t>
      </w:r>
    </w:p>
    <w:p>
      <w:pPr>
        <w:tabs>
          <w:tab w:val="left" w:pos="1095"/>
        </w:tabs>
        <w:spacing w:line="480" w:lineRule="exact"/>
        <w:rPr>
          <w:rFonts w:ascii="仿宋" w:hAnsi="仿宋" w:eastAsia="仿宋" w:cs="仿宋"/>
          <w:bCs/>
          <w:sz w:val="24"/>
        </w:rPr>
      </w:pPr>
      <w:r>
        <w:rPr>
          <w:rFonts w:hint="eastAsia" w:ascii="仿宋" w:hAnsi="仿宋" w:eastAsia="仿宋" w:cs="仿宋"/>
          <w:bCs/>
          <w:sz w:val="24"/>
        </w:rPr>
        <w:t>（2）在封装处加盖投标人公章和法人私章，每一封口处均应贴“</w:t>
      </w:r>
      <w:r>
        <w:rPr>
          <w:rFonts w:hint="eastAsia" w:ascii="仿宋" w:hAnsi="仿宋" w:eastAsia="仿宋" w:cs="仿宋"/>
          <w:bCs/>
          <w:sz w:val="24"/>
          <w:u w:val="single"/>
        </w:rPr>
        <w:t xml:space="preserve">         </w:t>
      </w:r>
      <w:r>
        <w:rPr>
          <w:rFonts w:hint="eastAsia" w:ascii="仿宋" w:hAnsi="仿宋" w:eastAsia="仿宋" w:cs="仿宋"/>
          <w:bCs/>
          <w:sz w:val="24"/>
        </w:rPr>
        <w:t>项目在  年  月  日  时   分之前不得启封”字样的密封条。未按此要求密封的投标文件将被拒绝。</w:t>
      </w:r>
    </w:p>
    <w:p>
      <w:pPr>
        <w:tabs>
          <w:tab w:val="left" w:pos="1095"/>
        </w:tabs>
        <w:spacing w:line="480" w:lineRule="exact"/>
        <w:rPr>
          <w:rFonts w:ascii="仿宋" w:hAnsi="仿宋" w:eastAsia="仿宋" w:cs="仿宋"/>
          <w:b/>
          <w:sz w:val="24"/>
        </w:rPr>
      </w:pPr>
      <w:r>
        <w:rPr>
          <w:rFonts w:hint="eastAsia" w:ascii="仿宋" w:hAnsi="仿宋" w:eastAsia="仿宋" w:cs="仿宋"/>
          <w:b/>
          <w:sz w:val="24"/>
        </w:rPr>
        <w:t>1</w:t>
      </w:r>
      <w:r>
        <w:rPr>
          <w:rFonts w:hint="eastAsia" w:ascii="仿宋" w:hAnsi="仿宋" w:eastAsia="仿宋" w:cs="仿宋"/>
          <w:b/>
          <w:sz w:val="24"/>
          <w:lang w:val="en-US" w:eastAsia="zh-CN"/>
        </w:rPr>
        <w:t>2</w:t>
      </w:r>
      <w:r>
        <w:rPr>
          <w:rFonts w:hint="eastAsia" w:ascii="仿宋" w:hAnsi="仿宋" w:eastAsia="仿宋" w:cs="仿宋"/>
          <w:b/>
          <w:sz w:val="24"/>
        </w:rPr>
        <w:t>.投标截止时间的延长</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.1 投标人应在招标公告或投标邀请书中规定的截止日期和时间内，派人将投标文</w:t>
      </w:r>
    </w:p>
    <w:p>
      <w:pPr>
        <w:tabs>
          <w:tab w:val="left" w:pos="1095"/>
        </w:tabs>
        <w:spacing w:line="480" w:lineRule="exact"/>
        <w:rPr>
          <w:rFonts w:ascii="仿宋" w:hAnsi="仿宋" w:eastAsia="仿宋" w:cs="仿宋"/>
          <w:sz w:val="24"/>
        </w:rPr>
      </w:pPr>
      <w:r>
        <w:rPr>
          <w:rFonts w:hint="eastAsia" w:ascii="仿宋" w:hAnsi="仿宋" w:eastAsia="仿宋" w:cs="仿宋"/>
          <w:sz w:val="24"/>
        </w:rPr>
        <w:t>件递交到招标公告或投标邀请书中规定的地址。</w:t>
      </w:r>
    </w:p>
    <w:p>
      <w:pPr>
        <w:tabs>
          <w:tab w:val="left" w:pos="525"/>
        </w:tabs>
        <w:adjustRightInd w:val="0"/>
        <w:spacing w:line="360" w:lineRule="auto"/>
        <w:outlineLvl w:val="2"/>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.2 采购人有权按本须知的规定，通过修改招标文件，延长投标截止期。在此情况下，采购人、供应商受投标截止期制约的所有权利和义务均应延长至新的截止期。</w:t>
      </w:r>
    </w:p>
    <w:p>
      <w:pPr>
        <w:tabs>
          <w:tab w:val="left" w:pos="1095"/>
        </w:tabs>
        <w:spacing w:line="480" w:lineRule="exac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2</w:t>
      </w:r>
      <w:r>
        <w:rPr>
          <w:rFonts w:hint="eastAsia" w:ascii="仿宋" w:hAnsi="仿宋" w:eastAsia="仿宋" w:cs="仿宋"/>
          <w:sz w:val="24"/>
        </w:rPr>
        <w:t>.3 采购人将拒绝并原封退回在投标截止期后送达的任何投标文件。</w:t>
      </w:r>
    </w:p>
    <w:p>
      <w:pPr>
        <w:tabs>
          <w:tab w:val="left" w:pos="525"/>
        </w:tabs>
        <w:adjustRightInd w:val="0"/>
        <w:spacing w:line="360" w:lineRule="auto"/>
        <w:outlineLvl w:val="2"/>
        <w:rPr>
          <w:rFonts w:ascii="仿宋" w:hAnsi="仿宋" w:eastAsia="仿宋" w:cs="仿宋"/>
          <w:sz w:val="24"/>
        </w:rPr>
      </w:pPr>
      <w:bookmarkStart w:id="59" w:name="_Toc47364309"/>
      <w:bookmarkStart w:id="60" w:name="_Toc87205242"/>
      <w:r>
        <w:rPr>
          <w:rFonts w:hint="eastAsia" w:ascii="仿宋" w:hAnsi="仿宋" w:eastAsia="仿宋" w:cs="仿宋"/>
          <w:b/>
          <w:sz w:val="24"/>
        </w:rPr>
        <w:t>1</w:t>
      </w:r>
      <w:r>
        <w:rPr>
          <w:rFonts w:hint="eastAsia" w:ascii="仿宋" w:hAnsi="仿宋" w:eastAsia="仿宋" w:cs="仿宋"/>
          <w:b/>
          <w:sz w:val="24"/>
          <w:lang w:val="en-US" w:eastAsia="zh-CN"/>
        </w:rPr>
        <w:t>3</w:t>
      </w:r>
      <w:r>
        <w:rPr>
          <w:rFonts w:hint="eastAsia" w:ascii="仿宋" w:hAnsi="仿宋" w:eastAsia="仿宋" w:cs="仿宋"/>
          <w:b/>
          <w:sz w:val="24"/>
        </w:rPr>
        <w:t>.投标文件的撤回和修改</w:t>
      </w:r>
      <w:bookmarkEnd w:id="59"/>
      <w:bookmarkEnd w:id="60"/>
    </w:p>
    <w:p>
      <w:pPr>
        <w:tabs>
          <w:tab w:val="left" w:pos="525"/>
        </w:tabs>
        <w:adjustRightInd w:val="0"/>
        <w:spacing w:line="360" w:lineRule="auto"/>
        <w:outlineLvl w:val="2"/>
        <w:rPr>
          <w:rFonts w:ascii="仿宋" w:hAnsi="仿宋" w:eastAsia="仿宋" w:cs="仿宋"/>
          <w:sz w:val="24"/>
        </w:rPr>
      </w:pPr>
      <w:bookmarkStart w:id="61" w:name="_Toc47364310"/>
      <w:bookmarkStart w:id="62" w:name="_Toc87205243"/>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.1 采购人收到投标文件后，应当如实记载投标文件的送达时间</w:t>
      </w:r>
      <w:bookmarkEnd w:id="61"/>
      <w:bookmarkEnd w:id="62"/>
      <w:bookmarkStart w:id="63" w:name="_Toc47364311"/>
      <w:bookmarkStart w:id="64" w:name="_Toc87205244"/>
      <w:r>
        <w:rPr>
          <w:rFonts w:hint="eastAsia" w:ascii="仿宋" w:hAnsi="仿宋" w:eastAsia="仿宋" w:cs="仿宋"/>
          <w:sz w:val="24"/>
        </w:rPr>
        <w:t>和密封情况。</w:t>
      </w:r>
      <w:bookmarkEnd w:id="63"/>
      <w:bookmarkEnd w:id="64"/>
    </w:p>
    <w:p>
      <w:pPr>
        <w:tabs>
          <w:tab w:val="left" w:pos="525"/>
        </w:tabs>
        <w:adjustRightInd w:val="0"/>
        <w:spacing w:line="360" w:lineRule="auto"/>
        <w:outlineLvl w:val="2"/>
        <w:rPr>
          <w:rFonts w:ascii="仿宋" w:hAnsi="仿宋" w:eastAsia="仿宋" w:cs="仿宋"/>
          <w:sz w:val="24"/>
        </w:rPr>
      </w:pPr>
      <w:bookmarkStart w:id="65" w:name="_Toc87205245"/>
      <w:bookmarkStart w:id="66" w:name="_Toc47364312"/>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.2 投标以后，如果投标人提出书面修改或撤标要求，在投标截止时间前送达开标</w:t>
      </w:r>
      <w:bookmarkEnd w:id="65"/>
      <w:bookmarkEnd w:id="66"/>
    </w:p>
    <w:p>
      <w:pPr>
        <w:tabs>
          <w:tab w:val="left" w:pos="525"/>
        </w:tabs>
        <w:adjustRightInd w:val="0"/>
        <w:spacing w:line="360" w:lineRule="auto"/>
        <w:outlineLvl w:val="2"/>
        <w:rPr>
          <w:rFonts w:ascii="仿宋" w:hAnsi="仿宋" w:eastAsia="仿宋" w:cs="仿宋"/>
          <w:sz w:val="24"/>
        </w:rPr>
      </w:pPr>
      <w:bookmarkStart w:id="67" w:name="_Toc87205246"/>
      <w:bookmarkStart w:id="68" w:name="_Toc47364313"/>
      <w:r>
        <w:rPr>
          <w:rFonts w:hint="eastAsia" w:ascii="仿宋" w:hAnsi="仿宋" w:eastAsia="仿宋" w:cs="仿宋"/>
          <w:sz w:val="24"/>
        </w:rPr>
        <w:t>地点，采购人将予以接受，并视为投标文件的组成部分。</w:t>
      </w:r>
      <w:bookmarkEnd w:id="67"/>
      <w:bookmarkEnd w:id="68"/>
    </w:p>
    <w:p>
      <w:pPr>
        <w:tabs>
          <w:tab w:val="left" w:pos="525"/>
        </w:tabs>
        <w:adjustRightInd w:val="0"/>
        <w:spacing w:line="360" w:lineRule="auto"/>
        <w:outlineLvl w:val="2"/>
        <w:rPr>
          <w:rFonts w:ascii="仿宋" w:hAnsi="仿宋" w:eastAsia="仿宋" w:cs="仿宋"/>
          <w:sz w:val="24"/>
        </w:rPr>
      </w:pPr>
      <w:bookmarkStart w:id="69" w:name="_Toc47364314"/>
      <w:bookmarkStart w:id="70" w:name="_Toc87205247"/>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.3 投标人对投标文件的修改或撤回通知应按本须知规定编制、密封、标记和发送。</w:t>
      </w:r>
      <w:bookmarkEnd w:id="69"/>
      <w:bookmarkEnd w:id="70"/>
    </w:p>
    <w:p>
      <w:pPr>
        <w:tabs>
          <w:tab w:val="left" w:pos="525"/>
        </w:tabs>
        <w:adjustRightInd w:val="0"/>
        <w:spacing w:line="360" w:lineRule="auto"/>
        <w:outlineLvl w:val="2"/>
        <w:rPr>
          <w:rFonts w:ascii="仿宋" w:hAnsi="仿宋" w:eastAsia="仿宋" w:cs="仿宋"/>
          <w:sz w:val="24"/>
        </w:rPr>
      </w:pPr>
      <w:bookmarkStart w:id="71" w:name="_Toc87205248"/>
      <w:bookmarkStart w:id="72" w:name="_Toc47364315"/>
      <w:r>
        <w:rPr>
          <w:rFonts w:hint="eastAsia" w:ascii="仿宋" w:hAnsi="仿宋" w:eastAsia="仿宋" w:cs="仿宋"/>
          <w:sz w:val="24"/>
        </w:rPr>
        <w:t>1</w:t>
      </w:r>
      <w:r>
        <w:rPr>
          <w:rFonts w:hint="eastAsia" w:ascii="仿宋" w:hAnsi="仿宋" w:eastAsia="仿宋" w:cs="仿宋"/>
          <w:sz w:val="24"/>
          <w:lang w:val="en-US" w:eastAsia="zh-CN"/>
        </w:rPr>
        <w:t>3</w:t>
      </w:r>
      <w:r>
        <w:rPr>
          <w:rFonts w:hint="eastAsia" w:ascii="仿宋" w:hAnsi="仿宋" w:eastAsia="仿宋" w:cs="仿宋"/>
          <w:sz w:val="24"/>
        </w:rPr>
        <w:t>.4 在投标截止期之后，投标人不得对其投标文件做任何修改，采购人</w:t>
      </w:r>
      <w:bookmarkEnd w:id="71"/>
      <w:bookmarkEnd w:id="72"/>
      <w:bookmarkStart w:id="73" w:name="_Toc47364316"/>
      <w:bookmarkStart w:id="74" w:name="_Toc87205249"/>
      <w:r>
        <w:rPr>
          <w:rFonts w:hint="eastAsia" w:ascii="仿宋" w:hAnsi="仿宋" w:eastAsia="仿宋" w:cs="仿宋"/>
          <w:sz w:val="24"/>
        </w:rPr>
        <w:t>对所接收投标文件概不退回。</w:t>
      </w:r>
      <w:bookmarkEnd w:id="73"/>
      <w:bookmarkEnd w:id="74"/>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五、开标</w:t>
      </w:r>
    </w:p>
    <w:p>
      <w:pPr>
        <w:tabs>
          <w:tab w:val="left" w:pos="525"/>
        </w:tabs>
        <w:adjustRightInd w:val="0"/>
        <w:spacing w:line="360" w:lineRule="auto"/>
        <w:outlineLvl w:val="2"/>
        <w:rPr>
          <w:rFonts w:ascii="仿宋" w:hAnsi="仿宋" w:eastAsia="仿宋" w:cs="仿宋"/>
          <w:b/>
          <w:sz w:val="24"/>
        </w:rPr>
      </w:pPr>
      <w:bookmarkStart w:id="75" w:name="_Toc87205252"/>
      <w:bookmarkStart w:id="76" w:name="_Toc47364319"/>
      <w:r>
        <w:rPr>
          <w:rFonts w:hint="eastAsia" w:ascii="仿宋" w:hAnsi="仿宋" w:eastAsia="仿宋" w:cs="仿宋"/>
          <w:b/>
          <w:sz w:val="24"/>
        </w:rPr>
        <w:t>1</w:t>
      </w:r>
      <w:r>
        <w:rPr>
          <w:rFonts w:hint="eastAsia" w:ascii="仿宋" w:hAnsi="仿宋" w:eastAsia="仿宋" w:cs="仿宋"/>
          <w:b/>
          <w:sz w:val="24"/>
          <w:lang w:val="en-US" w:eastAsia="zh-CN"/>
        </w:rPr>
        <w:t>4</w:t>
      </w:r>
      <w:r>
        <w:rPr>
          <w:rFonts w:hint="eastAsia" w:ascii="仿宋" w:hAnsi="仿宋" w:eastAsia="仿宋" w:cs="仿宋"/>
          <w:b/>
          <w:sz w:val="24"/>
        </w:rPr>
        <w:t>.开标</w:t>
      </w:r>
      <w:bookmarkEnd w:id="75"/>
      <w:bookmarkEnd w:id="7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.1 采购</w:t>
      </w:r>
      <w:r>
        <w:rPr>
          <w:rFonts w:hint="eastAsia" w:ascii="仿宋" w:hAnsi="仿宋" w:eastAsia="仿宋" w:cs="仿宋"/>
          <w:sz w:val="24"/>
          <w:lang w:val="en-US" w:eastAsia="zh-CN"/>
        </w:rPr>
        <w:t>人</w:t>
      </w:r>
      <w:r>
        <w:rPr>
          <w:rFonts w:hint="eastAsia" w:ascii="仿宋" w:hAnsi="仿宋" w:eastAsia="仿宋" w:cs="仿宋"/>
          <w:sz w:val="24"/>
        </w:rPr>
        <w:t>在规定的时间和地点组织开标活动。开标活动由采购</w:t>
      </w:r>
      <w:r>
        <w:rPr>
          <w:rFonts w:hint="eastAsia" w:ascii="仿宋" w:hAnsi="仿宋" w:eastAsia="仿宋" w:cs="仿宋"/>
          <w:sz w:val="24"/>
          <w:lang w:val="en-US" w:eastAsia="zh-CN"/>
        </w:rPr>
        <w:t>人招标采购部门</w:t>
      </w:r>
      <w:r>
        <w:rPr>
          <w:rFonts w:hint="eastAsia" w:ascii="仿宋" w:hAnsi="仿宋" w:eastAsia="仿宋" w:cs="仿宋"/>
          <w:sz w:val="24"/>
        </w:rPr>
        <w:t>主持。评标委员会成员不得参加开标活动。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2</w:t>
      </w:r>
      <w:r>
        <w:rPr>
          <w:rFonts w:hint="eastAsia" w:ascii="仿宋" w:hAnsi="仿宋" w:eastAsia="仿宋" w:cs="仿宋"/>
          <w:sz w:val="24"/>
        </w:rPr>
        <w:t xml:space="preserve"> 开标活动中不得以任何理由拒绝已接收的投标。</w:t>
      </w:r>
    </w:p>
    <w:p>
      <w:pPr>
        <w:tabs>
          <w:tab w:val="left" w:pos="600"/>
        </w:tabs>
        <w:adjustRightInd w:val="0"/>
        <w:spacing w:line="360" w:lineRule="auto"/>
        <w:rPr>
          <w:rFonts w:ascii="仿宋" w:hAnsi="仿宋" w:eastAsia="仿宋" w:cs="仿宋"/>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3</w:t>
      </w:r>
      <w:r>
        <w:rPr>
          <w:rFonts w:hint="eastAsia" w:ascii="仿宋" w:hAnsi="仿宋" w:eastAsia="仿宋" w:cs="仿宋"/>
          <w:sz w:val="24"/>
        </w:rPr>
        <w:t xml:space="preserve"> 采购人对开标过程进行记录</w:t>
      </w:r>
      <w:r>
        <w:rPr>
          <w:rFonts w:hint="eastAsia" w:ascii="仿宋" w:hAnsi="仿宋" w:eastAsia="仿宋" w:cs="仿宋"/>
          <w:sz w:val="24"/>
          <w:lang w:eastAsia="zh-CN"/>
        </w:rPr>
        <w:t>，</w:t>
      </w:r>
      <w:r>
        <w:rPr>
          <w:rFonts w:hint="eastAsia" w:ascii="仿宋" w:hAnsi="仿宋" w:eastAsia="仿宋" w:cs="仿宋"/>
          <w:sz w:val="24"/>
        </w:rPr>
        <w:t>并存档备查。</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4</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 xml:space="preserve"> 开标过程中，如遇不可抗力或意外事件等情况，</w:t>
      </w:r>
      <w:r>
        <w:rPr>
          <w:rFonts w:hint="eastAsia" w:ascii="仿宋" w:hAnsi="仿宋" w:eastAsia="仿宋" w:cs="仿宋"/>
          <w:sz w:val="24"/>
          <w:lang w:val="en-US" w:eastAsia="zh-CN"/>
        </w:rPr>
        <w:t>采购人</w:t>
      </w:r>
      <w:r>
        <w:rPr>
          <w:rFonts w:hint="eastAsia" w:ascii="仿宋" w:hAnsi="仿宋" w:eastAsia="仿宋" w:cs="仿宋"/>
          <w:sz w:val="24"/>
        </w:rPr>
        <w:t>将暂时中断开标程序并依法处理后续事宜。</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六、资格审查</w:t>
      </w:r>
    </w:p>
    <w:p>
      <w:pPr>
        <w:tabs>
          <w:tab w:val="left" w:pos="525"/>
        </w:tabs>
        <w:adjustRightInd w:val="0"/>
        <w:spacing w:line="360" w:lineRule="auto"/>
        <w:outlineLvl w:val="2"/>
        <w:rPr>
          <w:rFonts w:ascii="仿宋" w:hAnsi="仿宋" w:eastAsia="仿宋" w:cs="仿宋"/>
          <w:b/>
          <w:sz w:val="24"/>
        </w:rPr>
      </w:pPr>
      <w:bookmarkStart w:id="77" w:name="_Toc87205253"/>
      <w:bookmarkStart w:id="78" w:name="_Toc47364320"/>
      <w:r>
        <w:rPr>
          <w:rFonts w:hint="eastAsia" w:ascii="仿宋" w:hAnsi="仿宋" w:eastAsia="仿宋" w:cs="仿宋"/>
          <w:b/>
          <w:sz w:val="24"/>
        </w:rPr>
        <w:t>1</w:t>
      </w:r>
      <w:r>
        <w:rPr>
          <w:rFonts w:hint="eastAsia" w:ascii="仿宋" w:hAnsi="仿宋" w:eastAsia="仿宋" w:cs="仿宋"/>
          <w:b/>
          <w:sz w:val="24"/>
          <w:lang w:val="en-US" w:eastAsia="zh-CN"/>
        </w:rPr>
        <w:t>5</w:t>
      </w:r>
      <w:r>
        <w:rPr>
          <w:rFonts w:hint="eastAsia" w:ascii="仿宋" w:hAnsi="仿宋" w:eastAsia="仿宋" w:cs="仿宋"/>
          <w:b/>
          <w:sz w:val="24"/>
        </w:rPr>
        <w:t>.资格审查</w:t>
      </w:r>
      <w:bookmarkEnd w:id="77"/>
      <w:bookmarkEnd w:id="78"/>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.1 开标结束后，采购人将依照政府采购相关法律制度和招标文件的规定，对投标人的资格进行审查，资格审查不合格的投标人按照无效投标处理。</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5</w:t>
      </w:r>
      <w:r>
        <w:rPr>
          <w:rFonts w:hint="eastAsia" w:ascii="仿宋" w:hAnsi="仿宋" w:eastAsia="仿宋" w:cs="仿宋"/>
          <w:sz w:val="24"/>
        </w:rPr>
        <w:t>.2 资格审查合格的投标人不足3家的，该项目或该标段不得评标。</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七、评标</w:t>
      </w:r>
    </w:p>
    <w:p>
      <w:pPr>
        <w:tabs>
          <w:tab w:val="left" w:pos="525"/>
        </w:tabs>
        <w:adjustRightInd w:val="0"/>
        <w:spacing w:line="360" w:lineRule="auto"/>
        <w:outlineLvl w:val="2"/>
        <w:rPr>
          <w:rFonts w:ascii="仿宋" w:hAnsi="仿宋" w:eastAsia="仿宋" w:cs="仿宋"/>
          <w:b/>
          <w:sz w:val="24"/>
        </w:rPr>
      </w:pPr>
      <w:bookmarkStart w:id="79" w:name="_Toc87205254"/>
      <w:bookmarkStart w:id="80" w:name="_Toc47364321"/>
      <w:r>
        <w:rPr>
          <w:rFonts w:hint="eastAsia" w:ascii="仿宋" w:hAnsi="仿宋" w:eastAsia="仿宋" w:cs="仿宋"/>
          <w:b/>
          <w:sz w:val="24"/>
        </w:rPr>
        <w:t>1</w:t>
      </w:r>
      <w:r>
        <w:rPr>
          <w:rFonts w:hint="eastAsia" w:ascii="仿宋" w:hAnsi="仿宋" w:eastAsia="仿宋" w:cs="仿宋"/>
          <w:b/>
          <w:sz w:val="24"/>
          <w:lang w:val="en-US" w:eastAsia="zh-CN"/>
        </w:rPr>
        <w:t>6</w:t>
      </w:r>
      <w:r>
        <w:rPr>
          <w:rFonts w:hint="eastAsia" w:ascii="仿宋" w:hAnsi="仿宋" w:eastAsia="仿宋" w:cs="仿宋"/>
          <w:b/>
          <w:sz w:val="24"/>
        </w:rPr>
        <w:t>.评标</w:t>
      </w:r>
      <w:bookmarkEnd w:id="79"/>
      <w:bookmarkEnd w:id="80"/>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.1 本评标办法仅适用于本项目评标。</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.2 采购</w:t>
      </w:r>
      <w:r>
        <w:rPr>
          <w:rFonts w:hint="eastAsia" w:ascii="仿宋" w:hAnsi="仿宋" w:eastAsia="仿宋" w:cs="仿宋"/>
          <w:sz w:val="24"/>
          <w:lang w:val="en-US" w:eastAsia="zh-CN"/>
        </w:rPr>
        <w:t>人</w:t>
      </w:r>
      <w:r>
        <w:rPr>
          <w:rFonts w:hint="eastAsia" w:ascii="仿宋" w:hAnsi="仿宋" w:eastAsia="仿宋" w:cs="仿宋"/>
          <w:sz w:val="24"/>
        </w:rPr>
        <w:t>负责组织评标工作，并采取必要措施，保证评标在严格保密的情况下进行。</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6</w:t>
      </w:r>
      <w:r>
        <w:rPr>
          <w:rFonts w:hint="eastAsia" w:ascii="仿宋" w:hAnsi="仿宋" w:eastAsia="仿宋" w:cs="仿宋"/>
          <w:sz w:val="24"/>
        </w:rPr>
        <w:t>.3 评标委员会及其成员要严格遵守政府采购相关法律制度，遵守评审工作纪律，依据招标文件规定，公正、客观、审慎地进行评审工作。评标委员会成员要依法独立评审，并对评审意见承担个人责任；不得使用招标文件没有规定的评审因素和标准进行评审；对评审情况以及在评审过程中获悉的国家秘密、商业秘密负有保密责任；禁止泄露评审文件、评审情况。</w:t>
      </w:r>
    </w:p>
    <w:p>
      <w:pPr>
        <w:adjustRightInd w:val="0"/>
        <w:spacing w:line="360" w:lineRule="auto"/>
        <w:rPr>
          <w:rFonts w:ascii="仿宋" w:hAnsi="仿宋" w:eastAsia="仿宋" w:cs="仿宋"/>
          <w:sz w:val="24"/>
        </w:rPr>
      </w:pPr>
      <w:r>
        <w:rPr>
          <w:rFonts w:hint="eastAsia" w:ascii="仿宋" w:hAnsi="仿宋" w:eastAsia="仿宋" w:cs="仿宋"/>
          <w:sz w:val="24"/>
          <w:lang w:val="en-US" w:eastAsia="zh-CN"/>
        </w:rPr>
        <w:t>16</w:t>
      </w:r>
      <w:r>
        <w:rPr>
          <w:rFonts w:hint="eastAsia" w:ascii="仿宋" w:hAnsi="仿宋" w:eastAsia="仿宋" w:cs="仿宋"/>
          <w:sz w:val="24"/>
        </w:rPr>
        <w:t>.</w:t>
      </w:r>
      <w:r>
        <w:rPr>
          <w:rFonts w:hint="eastAsia" w:ascii="仿宋" w:hAnsi="仿宋" w:eastAsia="仿宋" w:cs="仿宋"/>
          <w:sz w:val="24"/>
          <w:lang w:val="en-US" w:eastAsia="zh-CN"/>
        </w:rPr>
        <w:t>4</w:t>
      </w:r>
      <w:r>
        <w:rPr>
          <w:rFonts w:hint="eastAsia" w:ascii="仿宋" w:hAnsi="仿宋" w:eastAsia="仿宋" w:cs="仿宋"/>
          <w:sz w:val="24"/>
        </w:rPr>
        <w:t>有下列情形之一的，视为投标人串通投标，其投标无效：</w:t>
      </w:r>
    </w:p>
    <w:p>
      <w:pPr>
        <w:adjustRightInd w:val="0"/>
        <w:spacing w:line="360" w:lineRule="auto"/>
        <w:ind w:left="720"/>
        <w:rPr>
          <w:rFonts w:ascii="仿宋" w:hAnsi="仿宋" w:eastAsia="仿宋" w:cs="仿宋"/>
          <w:sz w:val="24"/>
        </w:rPr>
      </w:pPr>
      <w:r>
        <w:rPr>
          <w:rFonts w:hint="eastAsia" w:ascii="仿宋" w:hAnsi="仿宋" w:eastAsia="仿宋" w:cs="仿宋"/>
          <w:sz w:val="24"/>
        </w:rPr>
        <w:t>（1）不同投标人的投标文件由同一单位或者个人编制；</w:t>
      </w:r>
    </w:p>
    <w:p>
      <w:pPr>
        <w:adjustRightInd w:val="0"/>
        <w:spacing w:line="360" w:lineRule="auto"/>
        <w:ind w:left="720"/>
        <w:rPr>
          <w:rFonts w:ascii="仿宋" w:hAnsi="仿宋" w:eastAsia="仿宋" w:cs="仿宋"/>
          <w:sz w:val="24"/>
        </w:rPr>
      </w:pPr>
      <w:r>
        <w:rPr>
          <w:rFonts w:hint="eastAsia" w:ascii="仿宋" w:hAnsi="仿宋" w:eastAsia="仿宋" w:cs="仿宋"/>
          <w:sz w:val="24"/>
        </w:rPr>
        <w:t>（2）不同投标人委托同一单位或者个人办理投标事宜；</w:t>
      </w:r>
    </w:p>
    <w:p>
      <w:pPr>
        <w:adjustRightInd w:val="0"/>
        <w:spacing w:line="360" w:lineRule="auto"/>
        <w:ind w:left="720"/>
        <w:rPr>
          <w:rFonts w:ascii="仿宋" w:hAnsi="仿宋" w:eastAsia="仿宋" w:cs="仿宋"/>
          <w:sz w:val="24"/>
        </w:rPr>
      </w:pPr>
      <w:r>
        <w:rPr>
          <w:rFonts w:hint="eastAsia" w:ascii="仿宋" w:hAnsi="仿宋" w:eastAsia="仿宋" w:cs="仿宋"/>
          <w:sz w:val="24"/>
        </w:rPr>
        <w:t>（3）不同投标人的投标文件载明的项目管理成员或者联系人员为同一人；</w:t>
      </w:r>
    </w:p>
    <w:p>
      <w:pPr>
        <w:adjustRightInd w:val="0"/>
        <w:spacing w:line="360" w:lineRule="auto"/>
        <w:ind w:left="720"/>
        <w:rPr>
          <w:rFonts w:ascii="仿宋" w:hAnsi="仿宋" w:eastAsia="仿宋" w:cs="仿宋"/>
          <w:sz w:val="24"/>
        </w:rPr>
      </w:pPr>
      <w:r>
        <w:rPr>
          <w:rFonts w:hint="eastAsia" w:ascii="仿宋" w:hAnsi="仿宋" w:eastAsia="仿宋" w:cs="仿宋"/>
          <w:sz w:val="24"/>
        </w:rPr>
        <w:t>（4）不同投标人的投标文件异常一致或者投标报价呈规律性差异；</w:t>
      </w:r>
    </w:p>
    <w:p>
      <w:pPr>
        <w:adjustRightInd w:val="0"/>
        <w:spacing w:line="360" w:lineRule="auto"/>
        <w:ind w:left="720"/>
        <w:rPr>
          <w:rFonts w:hint="eastAsia" w:ascii="仿宋" w:hAnsi="仿宋" w:eastAsia="仿宋" w:cs="仿宋"/>
          <w:sz w:val="24"/>
          <w:lang w:eastAsia="zh-CN"/>
        </w:rPr>
      </w:pPr>
      <w:r>
        <w:rPr>
          <w:rFonts w:hint="eastAsia" w:ascii="仿宋" w:hAnsi="仿宋" w:eastAsia="仿宋" w:cs="仿宋"/>
          <w:sz w:val="24"/>
        </w:rPr>
        <w:t>（5）不同投标人的投标文件相互混装</w:t>
      </w:r>
      <w:r>
        <w:rPr>
          <w:rFonts w:hint="eastAsia" w:ascii="仿宋" w:hAnsi="仿宋" w:eastAsia="仿宋" w:cs="仿宋"/>
          <w:sz w:val="24"/>
          <w:lang w:eastAsia="zh-CN"/>
        </w:rPr>
        <w:t>。</w:t>
      </w:r>
    </w:p>
    <w:p>
      <w:pPr>
        <w:pStyle w:val="2"/>
      </w:pP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八、合同授予</w:t>
      </w:r>
    </w:p>
    <w:p>
      <w:pPr>
        <w:tabs>
          <w:tab w:val="left" w:pos="525"/>
        </w:tabs>
        <w:adjustRightInd w:val="0"/>
        <w:spacing w:line="360" w:lineRule="auto"/>
        <w:outlineLvl w:val="2"/>
        <w:rPr>
          <w:rFonts w:ascii="仿宋" w:hAnsi="仿宋" w:eastAsia="仿宋" w:cs="仿宋"/>
          <w:b/>
          <w:sz w:val="24"/>
        </w:rPr>
      </w:pPr>
      <w:bookmarkStart w:id="81" w:name="_Toc87205255"/>
      <w:bookmarkStart w:id="82" w:name="_Toc47364322"/>
      <w:r>
        <w:rPr>
          <w:rFonts w:hint="eastAsia" w:ascii="仿宋" w:hAnsi="仿宋" w:eastAsia="仿宋" w:cs="仿宋"/>
          <w:b/>
          <w:sz w:val="24"/>
        </w:rPr>
        <w:t>1</w:t>
      </w:r>
      <w:r>
        <w:rPr>
          <w:rFonts w:hint="eastAsia" w:ascii="仿宋" w:hAnsi="仿宋" w:eastAsia="仿宋" w:cs="仿宋"/>
          <w:b/>
          <w:sz w:val="24"/>
          <w:lang w:val="en-US" w:eastAsia="zh-CN"/>
        </w:rPr>
        <w:t>7</w:t>
      </w:r>
      <w:r>
        <w:rPr>
          <w:rFonts w:hint="eastAsia" w:ascii="仿宋" w:hAnsi="仿宋" w:eastAsia="仿宋" w:cs="仿宋"/>
          <w:b/>
          <w:sz w:val="24"/>
        </w:rPr>
        <w:t>.定标</w:t>
      </w:r>
      <w:bookmarkEnd w:id="81"/>
      <w:bookmarkEnd w:id="82"/>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.1 采购人根据评标委员会出具的评审报告，确定综合评分排名第一的中标候选人为中标人。如果中标人放弃中标或出现中标无效的情形，采购人有权递补确定排名在其下一位的中标候选人为中标人，以此类推。</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7</w:t>
      </w:r>
      <w:r>
        <w:rPr>
          <w:rFonts w:hint="eastAsia" w:ascii="仿宋" w:hAnsi="仿宋" w:eastAsia="仿宋" w:cs="仿宋"/>
          <w:sz w:val="24"/>
        </w:rPr>
        <w:t>.2 中标人如果放弃中标，招标方有权依照法律规定追究其相应的法律责任。</w:t>
      </w:r>
    </w:p>
    <w:p>
      <w:pPr>
        <w:tabs>
          <w:tab w:val="left" w:pos="525"/>
        </w:tabs>
        <w:adjustRightInd w:val="0"/>
        <w:spacing w:line="360" w:lineRule="auto"/>
        <w:outlineLvl w:val="2"/>
        <w:rPr>
          <w:rFonts w:ascii="仿宋" w:hAnsi="仿宋" w:eastAsia="仿宋" w:cs="仿宋"/>
          <w:b/>
          <w:sz w:val="24"/>
        </w:rPr>
      </w:pPr>
      <w:bookmarkStart w:id="83" w:name="_Toc47364323"/>
      <w:bookmarkStart w:id="84" w:name="_Toc87205256"/>
      <w:r>
        <w:rPr>
          <w:rFonts w:hint="eastAsia" w:ascii="仿宋" w:hAnsi="仿宋" w:eastAsia="仿宋" w:cs="仿宋"/>
          <w:b/>
          <w:sz w:val="24"/>
          <w:lang w:val="en-US" w:eastAsia="zh-CN"/>
        </w:rPr>
        <w:t>18</w:t>
      </w:r>
      <w:r>
        <w:rPr>
          <w:rFonts w:hint="eastAsia" w:ascii="仿宋" w:hAnsi="仿宋" w:eastAsia="仿宋" w:cs="仿宋"/>
          <w:b/>
          <w:sz w:val="24"/>
        </w:rPr>
        <w:t>.中标通知书</w:t>
      </w:r>
      <w:bookmarkEnd w:id="83"/>
      <w:bookmarkEnd w:id="84"/>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.1 采购人确定中标人后</w:t>
      </w:r>
      <w:r>
        <w:rPr>
          <w:rFonts w:hint="eastAsia" w:ascii="仿宋" w:hAnsi="仿宋" w:eastAsia="仿宋" w:cs="仿宋"/>
          <w:sz w:val="24"/>
          <w:lang w:eastAsia="zh-CN"/>
        </w:rPr>
        <w:t>，</w:t>
      </w:r>
      <w:r>
        <w:rPr>
          <w:rFonts w:hint="eastAsia" w:ascii="仿宋" w:hAnsi="仿宋" w:eastAsia="仿宋" w:cs="仿宋"/>
          <w:sz w:val="24"/>
        </w:rPr>
        <w:t>将向中标人发出中标通知书，并将中标结果</w:t>
      </w:r>
      <w:r>
        <w:rPr>
          <w:rFonts w:hint="eastAsia" w:ascii="仿宋" w:hAnsi="仿宋" w:eastAsia="仿宋" w:cs="仿宋"/>
          <w:sz w:val="24"/>
          <w:lang w:val="en-US" w:eastAsia="zh-CN"/>
        </w:rPr>
        <w:t>在西藏康城肿瘤医院官网上</w:t>
      </w:r>
      <w:r>
        <w:rPr>
          <w:rFonts w:hint="eastAsia" w:ascii="仿宋" w:hAnsi="仿宋" w:eastAsia="仿宋" w:cs="仿宋"/>
          <w:sz w:val="24"/>
        </w:rPr>
        <w:t>公告。</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18</w:t>
      </w:r>
      <w:r>
        <w:rPr>
          <w:rFonts w:hint="eastAsia" w:ascii="仿宋" w:hAnsi="仿宋" w:eastAsia="仿宋" w:cs="仿宋"/>
          <w:sz w:val="24"/>
        </w:rPr>
        <w:t>.2 中标通知书是合同的组成部分。</w:t>
      </w:r>
    </w:p>
    <w:p>
      <w:pPr>
        <w:tabs>
          <w:tab w:val="left" w:pos="600"/>
        </w:tabs>
        <w:adjustRightInd w:val="0"/>
        <w:spacing w:line="360" w:lineRule="auto"/>
        <w:rPr>
          <w:rFonts w:ascii="仿宋" w:hAnsi="仿宋" w:eastAsia="仿宋" w:cs="仿宋"/>
          <w:b/>
          <w:sz w:val="24"/>
        </w:rPr>
      </w:pPr>
      <w:r>
        <w:rPr>
          <w:rFonts w:hint="eastAsia" w:ascii="仿宋" w:hAnsi="仿宋" w:eastAsia="仿宋" w:cs="仿宋"/>
          <w:sz w:val="24"/>
          <w:lang w:val="en-US" w:eastAsia="zh-CN"/>
        </w:rPr>
        <w:t>18</w:t>
      </w:r>
      <w:r>
        <w:rPr>
          <w:rFonts w:hint="eastAsia" w:ascii="仿宋" w:hAnsi="仿宋" w:eastAsia="仿宋" w:cs="仿宋"/>
          <w:sz w:val="24"/>
        </w:rPr>
        <w:t>.3 对未通过资格审查、符合性检查的投标人，将告知其未通过的原因；对通过资格审查和符合性检查但未中标的投标人，将告知其本人的评审得分与排序。</w:t>
      </w:r>
    </w:p>
    <w:p>
      <w:pPr>
        <w:tabs>
          <w:tab w:val="left" w:pos="525"/>
        </w:tabs>
        <w:adjustRightInd w:val="0"/>
        <w:spacing w:line="360" w:lineRule="auto"/>
        <w:outlineLvl w:val="2"/>
        <w:rPr>
          <w:rFonts w:ascii="仿宋" w:hAnsi="仿宋" w:eastAsia="仿宋" w:cs="仿宋"/>
          <w:b/>
          <w:sz w:val="24"/>
        </w:rPr>
      </w:pPr>
      <w:bookmarkStart w:id="85" w:name="_Toc87205257"/>
      <w:bookmarkStart w:id="86" w:name="_Toc47364324"/>
      <w:r>
        <w:rPr>
          <w:rFonts w:hint="eastAsia" w:ascii="仿宋" w:hAnsi="仿宋" w:eastAsia="仿宋" w:cs="仿宋"/>
          <w:b/>
          <w:sz w:val="24"/>
          <w:lang w:val="en-US" w:eastAsia="zh-CN"/>
        </w:rPr>
        <w:t>19</w:t>
      </w:r>
      <w:r>
        <w:rPr>
          <w:rFonts w:hint="eastAsia" w:ascii="仿宋" w:hAnsi="仿宋" w:eastAsia="仿宋" w:cs="仿宋"/>
          <w:b/>
          <w:sz w:val="24"/>
        </w:rPr>
        <w:t>.签订合同</w:t>
      </w:r>
      <w:bookmarkEnd w:id="85"/>
      <w:bookmarkEnd w:id="86"/>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.1 中标人应当在中标通知书发出之日起</w:t>
      </w:r>
      <w:r>
        <w:rPr>
          <w:rFonts w:hint="eastAsia" w:ascii="仿宋" w:hAnsi="仿宋" w:eastAsia="仿宋" w:cs="仿宋"/>
          <w:sz w:val="24"/>
          <w:lang w:val="en-US" w:eastAsia="zh-CN"/>
        </w:rPr>
        <w:t>10</w:t>
      </w:r>
      <w:r>
        <w:rPr>
          <w:rFonts w:hint="eastAsia" w:ascii="仿宋" w:hAnsi="仿宋" w:eastAsia="仿宋" w:cs="仿宋"/>
          <w:sz w:val="24"/>
        </w:rPr>
        <w:t>日内与采购人签订合同，由于中标人自身原因未及时签订合同的，招标方可以视为中标人放弃中标，中标人应当承担相应法律后果。在此种情况下，采购人可以按中标候选人顺序将标授予下一个中标候选人。</w:t>
      </w:r>
    </w:p>
    <w:p>
      <w:pPr>
        <w:tabs>
          <w:tab w:val="left" w:pos="600"/>
        </w:tabs>
        <w:adjustRightInd w:val="0"/>
        <w:spacing w:line="360" w:lineRule="auto"/>
        <w:rPr>
          <w:rFonts w:ascii="仿宋" w:hAnsi="仿宋" w:eastAsia="仿宋" w:cs="仿宋"/>
          <w:sz w:val="24"/>
        </w:rPr>
      </w:pPr>
      <w:r>
        <w:rPr>
          <w:rFonts w:hint="eastAsia" w:ascii="仿宋" w:hAnsi="仿宋" w:eastAsia="仿宋" w:cs="仿宋"/>
          <w:sz w:val="24"/>
          <w:lang w:val="en-US" w:eastAsia="zh-CN"/>
        </w:rPr>
        <w:t>19</w:t>
      </w:r>
      <w:r>
        <w:rPr>
          <w:rFonts w:hint="eastAsia" w:ascii="仿宋" w:hAnsi="仿宋" w:eastAsia="仿宋" w:cs="仿宋"/>
          <w:sz w:val="24"/>
        </w:rPr>
        <w:t>.2 招标文件、中标人的投标文件及其双方确认的澄清文件等，均为有法律约束力的合同组成部分。</w:t>
      </w:r>
    </w:p>
    <w:p>
      <w:pPr>
        <w:tabs>
          <w:tab w:val="left" w:pos="600"/>
        </w:tabs>
        <w:adjustRightInd w:val="0"/>
        <w:spacing w:line="360" w:lineRule="auto"/>
        <w:rPr>
          <w:rFonts w:ascii="仿宋" w:hAnsi="仿宋" w:eastAsia="仿宋" w:cs="仿宋"/>
          <w:bCs/>
          <w:sz w:val="24"/>
        </w:rPr>
      </w:pPr>
      <w:r>
        <w:rPr>
          <w:rFonts w:hint="eastAsia" w:ascii="仿宋" w:hAnsi="仿宋" w:eastAsia="仿宋" w:cs="仿宋"/>
          <w:bCs/>
          <w:sz w:val="24"/>
          <w:lang w:val="en-US" w:eastAsia="zh-CN"/>
        </w:rPr>
        <w:t>19</w:t>
      </w:r>
      <w:r>
        <w:rPr>
          <w:rFonts w:hint="eastAsia" w:ascii="仿宋" w:hAnsi="仿宋" w:eastAsia="仿宋" w:cs="仿宋"/>
          <w:bCs/>
          <w:sz w:val="24"/>
        </w:rPr>
        <w:t>.3 招标文件所附《合同条款及格式》是采购人与中标人签订合同的基本条款，投标人应认真阅读，在没有实质性违反招标文件及投标文件的前提下，采购人有权在合同签订前对合同条款进行适当修改、增加、删除，中标人不得以此为由拒绝签订合同。对此，请投标人参加投标前慎重考虑相关商业风险。</w:t>
      </w:r>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九、质疑与投诉</w:t>
      </w:r>
    </w:p>
    <w:p>
      <w:pPr>
        <w:adjustRightInd w:val="0"/>
        <w:spacing w:line="360" w:lineRule="auto"/>
        <w:outlineLvl w:val="2"/>
        <w:rPr>
          <w:rFonts w:ascii="仿宋" w:hAnsi="仿宋" w:eastAsia="仿宋" w:cs="仿宋"/>
          <w:b/>
          <w:sz w:val="24"/>
        </w:rPr>
      </w:pPr>
      <w:bookmarkStart w:id="87" w:name="_Toc47364325"/>
      <w:bookmarkStart w:id="88" w:name="_Toc87205258"/>
      <w:r>
        <w:rPr>
          <w:rFonts w:hint="eastAsia" w:ascii="仿宋" w:hAnsi="仿宋" w:eastAsia="仿宋" w:cs="仿宋"/>
          <w:b/>
          <w:sz w:val="24"/>
          <w:lang w:val="en-US" w:eastAsia="zh-CN"/>
        </w:rPr>
        <w:t>20</w:t>
      </w:r>
      <w:r>
        <w:rPr>
          <w:rFonts w:hint="eastAsia" w:ascii="仿宋" w:hAnsi="仿宋" w:eastAsia="仿宋" w:cs="仿宋"/>
          <w:b/>
          <w:sz w:val="24"/>
        </w:rPr>
        <w:t>.投标人质疑</w:t>
      </w:r>
      <w:bookmarkEnd w:id="87"/>
      <w:bookmarkEnd w:id="88"/>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.1 供应商认为采购文件、采购过程和中标（成交）结果使自己的权益受到损害的，可以在知道或者应知其权益受到损害之日起7个工作日内，以书面形式提出质疑。</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.2 在法定质疑期内，供应商针对同一采购程序环节，只能提出一次质疑。在同一采购程序环节有多个质疑事项的，供应商须一次性提出。</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.3 提出质疑的供应商应当是参与本项目采购活动的供应商。</w:t>
      </w:r>
    </w:p>
    <w:p>
      <w:pPr>
        <w:adjustRightInd w:val="0"/>
        <w:spacing w:line="360" w:lineRule="auto"/>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en-US" w:eastAsia="zh-CN"/>
        </w:rPr>
        <w:t>0</w:t>
      </w:r>
      <w:r>
        <w:rPr>
          <w:rFonts w:hint="eastAsia" w:ascii="仿宋" w:hAnsi="仿宋" w:eastAsia="仿宋" w:cs="仿宋"/>
          <w:sz w:val="24"/>
        </w:rPr>
        <w:t>.4 供应商可以委托代理人进行质疑。由代理人提出质疑的，须提交供应商针对当次质疑签署的授权委托书。授权委托书应当载明代理人的姓名或者名称、代理事项、具体权限、期限和相关事项。供应商为自然人的，应当由本人签字；供应商为法人或者其他组织的，应当由法定代表人、主要负责人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22.5 供应商提出质疑应当提交质疑函和必要的证明材料。质疑函应当包括下列内容：</w:t>
      </w:r>
    </w:p>
    <w:p>
      <w:pPr>
        <w:adjustRightInd w:val="0"/>
        <w:spacing w:line="360" w:lineRule="auto"/>
        <w:ind w:left="601"/>
        <w:rPr>
          <w:rFonts w:ascii="仿宋" w:hAnsi="仿宋" w:eastAsia="仿宋" w:cs="仿宋"/>
          <w:sz w:val="24"/>
        </w:rPr>
      </w:pPr>
      <w:r>
        <w:rPr>
          <w:rFonts w:hint="eastAsia" w:ascii="仿宋" w:hAnsi="仿宋" w:eastAsia="仿宋" w:cs="仿宋"/>
          <w:sz w:val="24"/>
        </w:rPr>
        <w:t>（一）供应商的姓名或者名称、地址、邮编、联系人及联系电话；</w:t>
      </w:r>
    </w:p>
    <w:p>
      <w:pPr>
        <w:adjustRightInd w:val="0"/>
        <w:spacing w:line="360" w:lineRule="auto"/>
        <w:ind w:left="601"/>
        <w:rPr>
          <w:rFonts w:ascii="仿宋" w:hAnsi="仿宋" w:eastAsia="仿宋" w:cs="仿宋"/>
          <w:sz w:val="24"/>
        </w:rPr>
      </w:pPr>
      <w:r>
        <w:rPr>
          <w:rFonts w:hint="eastAsia" w:ascii="仿宋" w:hAnsi="仿宋" w:eastAsia="仿宋" w:cs="仿宋"/>
          <w:sz w:val="24"/>
        </w:rPr>
        <w:t>（二）质疑项目的名称、编号；</w:t>
      </w:r>
    </w:p>
    <w:p>
      <w:pPr>
        <w:adjustRightInd w:val="0"/>
        <w:spacing w:line="360" w:lineRule="auto"/>
        <w:ind w:left="601"/>
        <w:rPr>
          <w:rFonts w:ascii="仿宋" w:hAnsi="仿宋" w:eastAsia="仿宋" w:cs="仿宋"/>
          <w:sz w:val="24"/>
        </w:rPr>
      </w:pPr>
      <w:r>
        <w:rPr>
          <w:rFonts w:hint="eastAsia" w:ascii="仿宋" w:hAnsi="仿宋" w:eastAsia="仿宋" w:cs="仿宋"/>
          <w:sz w:val="24"/>
        </w:rPr>
        <w:t>（三）具体、明确的质疑事项和与质疑事项相关的请求；</w:t>
      </w:r>
    </w:p>
    <w:p>
      <w:pPr>
        <w:adjustRightInd w:val="0"/>
        <w:spacing w:line="360" w:lineRule="auto"/>
        <w:ind w:left="601"/>
        <w:rPr>
          <w:rFonts w:ascii="仿宋" w:hAnsi="仿宋" w:eastAsia="仿宋" w:cs="仿宋"/>
          <w:sz w:val="24"/>
        </w:rPr>
      </w:pPr>
      <w:r>
        <w:rPr>
          <w:rFonts w:hint="eastAsia" w:ascii="仿宋" w:hAnsi="仿宋" w:eastAsia="仿宋" w:cs="仿宋"/>
          <w:sz w:val="24"/>
        </w:rPr>
        <w:t>（四）事实依据；</w:t>
      </w:r>
    </w:p>
    <w:p>
      <w:pPr>
        <w:adjustRightInd w:val="0"/>
        <w:spacing w:line="360" w:lineRule="auto"/>
        <w:ind w:left="601"/>
        <w:rPr>
          <w:rFonts w:ascii="仿宋" w:hAnsi="仿宋" w:eastAsia="仿宋" w:cs="仿宋"/>
          <w:sz w:val="24"/>
        </w:rPr>
      </w:pPr>
      <w:r>
        <w:rPr>
          <w:rFonts w:hint="eastAsia" w:ascii="仿宋" w:hAnsi="仿宋" w:eastAsia="仿宋" w:cs="仿宋"/>
          <w:sz w:val="24"/>
        </w:rPr>
        <w:t>（五）必要的法律依据；</w:t>
      </w:r>
    </w:p>
    <w:p>
      <w:pPr>
        <w:adjustRightInd w:val="0"/>
        <w:spacing w:line="360" w:lineRule="auto"/>
        <w:ind w:left="601"/>
        <w:rPr>
          <w:rFonts w:ascii="仿宋" w:hAnsi="仿宋" w:eastAsia="仿宋" w:cs="仿宋"/>
          <w:sz w:val="24"/>
        </w:rPr>
      </w:pPr>
      <w:r>
        <w:rPr>
          <w:rFonts w:hint="eastAsia" w:ascii="仿宋" w:hAnsi="仿宋" w:eastAsia="仿宋" w:cs="仿宋"/>
          <w:sz w:val="24"/>
        </w:rPr>
        <w:t>（六）提出质疑的日期。</w:t>
      </w:r>
    </w:p>
    <w:p>
      <w:pPr>
        <w:adjustRightInd w:val="0"/>
        <w:spacing w:line="360" w:lineRule="auto"/>
        <w:ind w:left="601"/>
        <w:rPr>
          <w:rFonts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供应商为自然人的，应当由本人签字；供应商为法人或者其他组织的，应当由法定代表人、主要负责人及其授权代表签字或者签章，并加盖供应商公章。</w:t>
      </w:r>
    </w:p>
    <w:p>
      <w:pPr>
        <w:adjustRightInd w:val="0"/>
        <w:spacing w:line="360" w:lineRule="auto"/>
        <w:rPr>
          <w:rFonts w:ascii="仿宋" w:hAnsi="仿宋" w:eastAsia="仿宋" w:cs="仿宋"/>
          <w:sz w:val="24"/>
        </w:rPr>
      </w:pPr>
      <w:r>
        <w:rPr>
          <w:rFonts w:hint="eastAsia" w:ascii="仿宋" w:hAnsi="仿宋" w:eastAsia="仿宋" w:cs="仿宋"/>
          <w:sz w:val="24"/>
        </w:rPr>
        <w:t>22.6 供应商提交的质疑函须按照《政府采购质疑和投诉办法》规定的格式填写，并由法定代表人或授权代表当面提交。提交时，须同时出示法定代表人或其授权代表的身份证原件。</w:t>
      </w:r>
    </w:p>
    <w:p>
      <w:pPr>
        <w:adjustRightInd w:val="0"/>
        <w:spacing w:line="360" w:lineRule="auto"/>
        <w:rPr>
          <w:rFonts w:ascii="仿宋" w:hAnsi="仿宋" w:eastAsia="仿宋" w:cs="仿宋"/>
          <w:sz w:val="24"/>
        </w:rPr>
      </w:pPr>
      <w:r>
        <w:rPr>
          <w:rFonts w:hint="eastAsia" w:ascii="仿宋" w:hAnsi="仿宋" w:eastAsia="仿宋" w:cs="仿宋"/>
          <w:sz w:val="24"/>
        </w:rPr>
        <w:t>22.7 不符合上述21.1-21.7款规定的质疑函不予受理。</w:t>
      </w:r>
    </w:p>
    <w:p>
      <w:pPr>
        <w:adjustRightInd w:val="0"/>
        <w:spacing w:line="360" w:lineRule="auto"/>
        <w:rPr>
          <w:rFonts w:ascii="仿宋" w:hAnsi="仿宋" w:eastAsia="仿宋" w:cs="仿宋"/>
          <w:sz w:val="24"/>
        </w:rPr>
      </w:pPr>
      <w:r>
        <w:rPr>
          <w:rFonts w:hint="eastAsia" w:ascii="仿宋" w:hAnsi="仿宋" w:eastAsia="仿宋" w:cs="仿宋"/>
          <w:sz w:val="24"/>
        </w:rPr>
        <w:t>22.8 采购人或采购代理机构将在收到质疑函后7个工作日内作出答复，并以书面形式通知质疑投标人和其他有关投标人，但答复的内容不涉及商业秘密。</w:t>
      </w:r>
    </w:p>
    <w:p>
      <w:pPr>
        <w:tabs>
          <w:tab w:val="left" w:pos="525"/>
        </w:tabs>
        <w:adjustRightInd w:val="0"/>
        <w:spacing w:line="360" w:lineRule="auto"/>
        <w:outlineLvl w:val="2"/>
        <w:rPr>
          <w:rFonts w:ascii="仿宋" w:hAnsi="仿宋" w:eastAsia="仿宋" w:cs="仿宋"/>
          <w:b/>
          <w:sz w:val="24"/>
        </w:rPr>
      </w:pPr>
      <w:bookmarkStart w:id="89" w:name="_Toc87205259"/>
      <w:bookmarkStart w:id="90" w:name="_Toc47364326"/>
      <w:r>
        <w:rPr>
          <w:rFonts w:hint="eastAsia" w:ascii="仿宋" w:hAnsi="仿宋" w:eastAsia="仿宋" w:cs="仿宋"/>
          <w:b/>
          <w:sz w:val="24"/>
        </w:rPr>
        <w:t>23.投标人投诉</w:t>
      </w:r>
      <w:bookmarkEnd w:id="89"/>
      <w:bookmarkEnd w:id="90"/>
    </w:p>
    <w:p>
      <w:pPr>
        <w:tabs>
          <w:tab w:val="left" w:pos="525"/>
        </w:tabs>
        <w:adjustRightInd w:val="0"/>
        <w:spacing w:line="360" w:lineRule="auto"/>
        <w:outlineLvl w:val="2"/>
        <w:rPr>
          <w:rFonts w:ascii="仿宋" w:hAnsi="仿宋" w:eastAsia="仿宋" w:cs="仿宋"/>
          <w:sz w:val="24"/>
        </w:rPr>
      </w:pPr>
      <w:bookmarkStart w:id="91" w:name="_Toc87205260"/>
      <w:bookmarkStart w:id="92" w:name="_Toc47364327"/>
      <w:r>
        <w:rPr>
          <w:rFonts w:hint="eastAsia" w:ascii="仿宋" w:hAnsi="仿宋" w:eastAsia="仿宋" w:cs="仿宋"/>
          <w:sz w:val="24"/>
        </w:rPr>
        <w:t>质疑投标人对采购人或采购代理机构的答复不满意以及采购人或采购代理机构未在规定的时间内做出答复的，可以在答复期满后15个工作日内向财政监管部门提起投诉。</w:t>
      </w:r>
      <w:bookmarkEnd w:id="91"/>
      <w:bookmarkEnd w:id="92"/>
    </w:p>
    <w:p>
      <w:pPr>
        <w:tabs>
          <w:tab w:val="left" w:pos="4265"/>
          <w:tab w:val="left" w:pos="6816"/>
        </w:tabs>
        <w:adjustRightInd w:val="0"/>
        <w:spacing w:line="360" w:lineRule="auto"/>
        <w:ind w:left="-11"/>
        <w:jc w:val="center"/>
        <w:rPr>
          <w:rFonts w:ascii="仿宋" w:hAnsi="仿宋" w:eastAsia="仿宋" w:cs="仿宋"/>
          <w:b/>
          <w:bCs/>
          <w:sz w:val="24"/>
        </w:rPr>
      </w:pPr>
      <w:r>
        <w:rPr>
          <w:rFonts w:hint="eastAsia" w:ascii="仿宋" w:hAnsi="仿宋" w:eastAsia="仿宋" w:cs="仿宋"/>
          <w:b/>
          <w:bCs/>
          <w:sz w:val="24"/>
        </w:rPr>
        <w:t>十、其他事项</w:t>
      </w:r>
    </w:p>
    <w:p>
      <w:pPr>
        <w:adjustRightInd w:val="0"/>
        <w:spacing w:line="360" w:lineRule="auto"/>
        <w:outlineLvl w:val="2"/>
        <w:rPr>
          <w:rFonts w:ascii="仿宋" w:hAnsi="仿宋" w:eastAsia="仿宋" w:cs="仿宋"/>
          <w:b/>
          <w:sz w:val="24"/>
        </w:rPr>
      </w:pPr>
      <w:bookmarkStart w:id="93" w:name="_Toc87205261"/>
      <w:bookmarkStart w:id="94" w:name="_Toc47364328"/>
      <w:r>
        <w:rPr>
          <w:rFonts w:hint="eastAsia" w:ascii="仿宋" w:hAnsi="仿宋" w:eastAsia="仿宋" w:cs="仿宋"/>
          <w:b/>
          <w:sz w:val="24"/>
        </w:rPr>
        <w:t>24.废标</w:t>
      </w:r>
      <w:bookmarkEnd w:id="93"/>
      <w:bookmarkEnd w:id="94"/>
    </w:p>
    <w:p>
      <w:pPr>
        <w:adjustRightInd w:val="0"/>
        <w:spacing w:line="360" w:lineRule="auto"/>
        <w:outlineLvl w:val="2"/>
        <w:rPr>
          <w:rFonts w:ascii="仿宋" w:hAnsi="仿宋" w:eastAsia="仿宋" w:cs="仿宋"/>
          <w:sz w:val="24"/>
        </w:rPr>
      </w:pPr>
      <w:bookmarkStart w:id="95" w:name="_Toc87205262"/>
      <w:bookmarkStart w:id="96" w:name="_Toc47364329"/>
      <w:r>
        <w:rPr>
          <w:rFonts w:hint="eastAsia" w:ascii="仿宋" w:hAnsi="仿宋" w:eastAsia="仿宋" w:cs="仿宋"/>
          <w:sz w:val="24"/>
        </w:rPr>
        <w:t>本项目出现《政府采购法》第三十六条规定的废标情形时，招标方有权宣布废标，招标方对受影响的投标人不承担任何责任，但因招标方出现影响采购公正的违法、违规行为引起的废标情形除外。如果项目分包，将以包为单位执行。</w:t>
      </w:r>
      <w:bookmarkEnd w:id="95"/>
      <w:bookmarkEnd w:id="96"/>
    </w:p>
    <w:p>
      <w:pPr>
        <w:adjustRightInd w:val="0"/>
        <w:spacing w:line="360" w:lineRule="auto"/>
        <w:outlineLvl w:val="2"/>
        <w:rPr>
          <w:rFonts w:ascii="仿宋" w:hAnsi="仿宋" w:eastAsia="仿宋" w:cs="仿宋"/>
          <w:b/>
          <w:sz w:val="24"/>
        </w:rPr>
      </w:pPr>
      <w:bookmarkStart w:id="97" w:name="_Toc47364330"/>
      <w:bookmarkStart w:id="98" w:name="_Toc87205263"/>
      <w:r>
        <w:rPr>
          <w:rFonts w:hint="eastAsia" w:ascii="仿宋" w:hAnsi="仿宋" w:eastAsia="仿宋" w:cs="仿宋"/>
          <w:b/>
          <w:sz w:val="24"/>
        </w:rPr>
        <w:t>25.履约保证金</w:t>
      </w:r>
      <w:bookmarkEnd w:id="97"/>
      <w:bookmarkEnd w:id="98"/>
    </w:p>
    <w:p>
      <w:pPr>
        <w:adjustRightInd w:val="0"/>
        <w:spacing w:line="360" w:lineRule="auto"/>
        <w:outlineLvl w:val="2"/>
        <w:rPr>
          <w:rFonts w:ascii="仿宋" w:hAnsi="仿宋" w:eastAsia="仿宋" w:cs="仿宋"/>
          <w:sz w:val="24"/>
        </w:rPr>
      </w:pPr>
      <w:bookmarkStart w:id="99" w:name="_Toc47364331"/>
      <w:bookmarkStart w:id="100" w:name="_Toc87205264"/>
      <w:r>
        <w:rPr>
          <w:rFonts w:hint="eastAsia" w:ascii="仿宋" w:hAnsi="仿宋" w:eastAsia="仿宋" w:cs="仿宋"/>
          <w:sz w:val="24"/>
        </w:rPr>
        <w:t>按照合同约定执行。</w:t>
      </w:r>
      <w:bookmarkEnd w:id="99"/>
      <w:bookmarkEnd w:id="100"/>
    </w:p>
    <w:p>
      <w:pPr>
        <w:adjustRightInd w:val="0"/>
        <w:spacing w:line="360" w:lineRule="auto"/>
        <w:outlineLvl w:val="2"/>
        <w:rPr>
          <w:rFonts w:ascii="仿宋" w:hAnsi="仿宋" w:eastAsia="仿宋" w:cs="仿宋"/>
          <w:b/>
          <w:sz w:val="24"/>
        </w:rPr>
      </w:pPr>
      <w:bookmarkStart w:id="101" w:name="_Toc87205265"/>
      <w:bookmarkStart w:id="102" w:name="_Toc47364332"/>
      <w:r>
        <w:rPr>
          <w:rFonts w:hint="eastAsia" w:ascii="仿宋" w:hAnsi="仿宋" w:eastAsia="仿宋" w:cs="仿宋"/>
          <w:b/>
          <w:sz w:val="24"/>
        </w:rPr>
        <w:t>26.履约监管</w:t>
      </w:r>
      <w:bookmarkEnd w:id="101"/>
      <w:bookmarkEnd w:id="102"/>
    </w:p>
    <w:p>
      <w:pPr>
        <w:adjustRightInd w:val="0"/>
        <w:spacing w:line="360" w:lineRule="auto"/>
        <w:outlineLvl w:val="2"/>
        <w:rPr>
          <w:rFonts w:ascii="仿宋" w:hAnsi="仿宋" w:eastAsia="仿宋" w:cs="仿宋"/>
          <w:bCs/>
          <w:sz w:val="24"/>
        </w:rPr>
      </w:pPr>
      <w:bookmarkStart w:id="103" w:name="_Toc47364333"/>
      <w:bookmarkStart w:id="104" w:name="_Toc87205266"/>
      <w:r>
        <w:rPr>
          <w:rFonts w:hint="eastAsia" w:ascii="仿宋" w:hAnsi="仿宋" w:eastAsia="仿宋" w:cs="仿宋"/>
          <w:bCs/>
          <w:sz w:val="24"/>
        </w:rPr>
        <w:t>为保障国有资金的使用效益，促进中标供应商严格履约，采购</w:t>
      </w:r>
      <w:r>
        <w:rPr>
          <w:rFonts w:hint="eastAsia" w:ascii="仿宋" w:hAnsi="仿宋" w:eastAsia="仿宋" w:cs="仿宋"/>
          <w:bCs/>
          <w:sz w:val="24"/>
          <w:lang w:val="en-US" w:eastAsia="zh-CN"/>
        </w:rPr>
        <w:t>人</w:t>
      </w:r>
      <w:r>
        <w:rPr>
          <w:rFonts w:hint="eastAsia" w:ascii="仿宋" w:hAnsi="仿宋" w:eastAsia="仿宋" w:cs="仿宋"/>
          <w:bCs/>
          <w:sz w:val="24"/>
        </w:rPr>
        <w:t>将对本项目的履约情况进行跟踪督查。中标供应商在项目实施过程中，如存在供货进度、数量、质量、安全等违约情况，除采购人可依据采购合同追究其民事责任外，采购</w:t>
      </w:r>
      <w:r>
        <w:rPr>
          <w:rFonts w:hint="eastAsia" w:ascii="仿宋" w:hAnsi="仿宋" w:eastAsia="仿宋" w:cs="仿宋"/>
          <w:bCs/>
          <w:sz w:val="24"/>
          <w:lang w:val="en-US" w:eastAsia="zh-CN"/>
        </w:rPr>
        <w:t>人</w:t>
      </w:r>
      <w:r>
        <w:rPr>
          <w:rFonts w:hint="eastAsia" w:ascii="仿宋" w:hAnsi="仿宋" w:eastAsia="仿宋" w:cs="仿宋"/>
          <w:bCs/>
          <w:sz w:val="24"/>
        </w:rPr>
        <w:t>有权将中标供应商的违约情况报告财政监管部门。</w:t>
      </w:r>
      <w:bookmarkEnd w:id="103"/>
      <w:bookmarkEnd w:id="104"/>
    </w:p>
    <w:p>
      <w:pPr>
        <w:pStyle w:val="2"/>
        <w:rPr>
          <w:rFonts w:hint="eastAsia"/>
        </w:rPr>
      </w:pPr>
      <w:r>
        <w:rPr>
          <w:rFonts w:hint="eastAsia"/>
        </w:rPr>
        <w:br w:type="page"/>
      </w:r>
      <w:bookmarkEnd w:id="41"/>
      <w:bookmarkEnd w:id="42"/>
      <w:bookmarkEnd w:id="43"/>
      <w:bookmarkEnd w:id="44"/>
      <w:bookmarkStart w:id="105" w:name="_Toc49019228"/>
      <w:bookmarkStart w:id="106" w:name="_Toc47416189"/>
      <w:bookmarkStart w:id="107" w:name="_Toc22319"/>
    </w:p>
    <w:p>
      <w:pPr>
        <w:spacing w:line="480" w:lineRule="exact"/>
        <w:jc w:val="center"/>
        <w:rPr>
          <w:rFonts w:ascii="仿宋_GB2312" w:hAnsi="黑体" w:eastAsia="仿宋_GB2312"/>
          <w:bCs/>
          <w:color w:val="000000"/>
          <w:sz w:val="32"/>
          <w:szCs w:val="32"/>
          <w:lang w:eastAsia="zh-CN"/>
        </w:rPr>
      </w:pPr>
      <w:r>
        <w:rPr>
          <w:rFonts w:hint="eastAsia" w:ascii="仿宋_GB2312" w:hAnsi="黑体" w:eastAsia="仿宋_GB2312"/>
          <w:bCs/>
          <w:color w:val="000000"/>
          <w:sz w:val="32"/>
          <w:szCs w:val="32"/>
          <w:lang w:eastAsia="zh-CN"/>
        </w:rPr>
        <w:t xml:space="preserve">                         </w:t>
      </w:r>
      <w:r>
        <w:rPr>
          <w:rFonts w:hint="eastAsia" w:ascii="仿宋_GB2312" w:hAnsi="宋体" w:eastAsia="仿宋_GB2312"/>
          <w:sz w:val="28"/>
          <w:szCs w:val="28"/>
          <w:lang w:eastAsia="zh-CN"/>
        </w:rPr>
        <w:t>合同编号：</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u w:val="single"/>
          <w:lang w:eastAsia="zh-CN"/>
        </w:rPr>
        <w:t xml:space="preserve">   </w:t>
      </w:r>
    </w:p>
    <w:p>
      <w:pPr>
        <w:spacing w:line="480" w:lineRule="exact"/>
        <w:jc w:val="center"/>
        <w:rPr>
          <w:rFonts w:ascii="方正小标宋简体" w:hAnsi="黑体" w:eastAsia="方正小标宋简体"/>
          <w:b/>
          <w:bCs/>
          <w:color w:val="000000"/>
          <w:sz w:val="44"/>
          <w:szCs w:val="44"/>
          <w:lang w:eastAsia="zh-CN"/>
        </w:rPr>
      </w:pPr>
    </w:p>
    <w:p>
      <w:pPr>
        <w:spacing w:line="480" w:lineRule="exact"/>
        <w:jc w:val="center"/>
        <w:rPr>
          <w:rFonts w:ascii="小标宋" w:hAnsi="黑体" w:eastAsia="小标宋"/>
          <w:bCs/>
          <w:color w:val="000000"/>
          <w:sz w:val="36"/>
          <w:szCs w:val="36"/>
          <w:lang w:eastAsia="zh-CN"/>
        </w:rPr>
      </w:pPr>
      <w:r>
        <w:rPr>
          <w:rFonts w:hint="eastAsia" w:ascii="小标宋" w:hAnsi="黑体" w:eastAsia="小标宋"/>
          <w:bCs/>
          <w:color w:val="000000"/>
          <w:sz w:val="36"/>
          <w:szCs w:val="36"/>
          <w:lang w:val="en-US" w:eastAsia="zh-CN"/>
        </w:rPr>
        <w:t>西藏康城肿瘤医院</w:t>
      </w:r>
      <w:r>
        <w:rPr>
          <w:rFonts w:hint="eastAsia" w:ascii="小标宋" w:hAnsi="黑体" w:eastAsia="小标宋"/>
          <w:bCs/>
          <w:color w:val="000000"/>
          <w:sz w:val="36"/>
          <w:szCs w:val="36"/>
          <w:lang w:eastAsia="zh-CN"/>
        </w:rPr>
        <w:t>采购购销合同</w:t>
      </w:r>
    </w:p>
    <w:p>
      <w:pPr>
        <w:spacing w:line="480" w:lineRule="exact"/>
        <w:jc w:val="center"/>
        <w:rPr>
          <w:rFonts w:ascii="仿宋_GB2312" w:eastAsia="仿宋_GB2312"/>
          <w:b/>
          <w:sz w:val="32"/>
          <w:szCs w:val="32"/>
          <w:lang w:eastAsia="zh-CN"/>
        </w:rPr>
      </w:pPr>
    </w:p>
    <w:p>
      <w:pPr>
        <w:spacing w:line="480" w:lineRule="exact"/>
        <w:ind w:firstLine="594" w:firstLineChars="198"/>
        <w:rPr>
          <w:rFonts w:ascii="黑体" w:hAnsi="黑体" w:eastAsia="黑体"/>
          <w:sz w:val="30"/>
          <w:szCs w:val="30"/>
          <w:lang w:eastAsia="zh-CN"/>
        </w:rPr>
      </w:pPr>
      <w:r>
        <w:rPr>
          <w:rFonts w:hint="eastAsia" w:ascii="黑体" w:hAnsi="黑体" w:eastAsia="黑体"/>
          <w:sz w:val="30"/>
          <w:szCs w:val="30"/>
          <w:lang w:eastAsia="zh-CN"/>
        </w:rPr>
        <w:t>甲方（医疗卫生机构）：</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r>
        <w:rPr>
          <w:rFonts w:hint="eastAsia" w:ascii="黑体" w:hAnsi="黑体" w:eastAsia="黑体"/>
          <w:sz w:val="30"/>
          <w:szCs w:val="30"/>
          <w:lang w:eastAsia="zh-CN"/>
        </w:rPr>
        <w:t>乙方</w:t>
      </w:r>
      <w:r>
        <w:rPr>
          <w:rFonts w:hint="eastAsia" w:ascii="黑体" w:hAnsi="黑体" w:eastAsia="黑体"/>
          <w:color w:val="000000"/>
          <w:sz w:val="30"/>
          <w:szCs w:val="30"/>
          <w:lang w:eastAsia="zh-CN"/>
        </w:rPr>
        <w:t>（供货企业</w:t>
      </w:r>
      <w:r>
        <w:rPr>
          <w:rFonts w:hint="eastAsia" w:ascii="黑体" w:hAnsi="黑体" w:eastAsia="黑体"/>
          <w:sz w:val="30"/>
          <w:szCs w:val="30"/>
          <w:lang w:eastAsia="zh-CN"/>
        </w:rPr>
        <w:t>）：</w:t>
      </w:r>
      <w:r>
        <w:rPr>
          <w:rFonts w:ascii="黑体" w:hAnsi="黑体" w:eastAsia="黑体"/>
          <w:sz w:val="30"/>
          <w:szCs w:val="30"/>
          <w:u w:val="single"/>
          <w:lang w:eastAsia="zh-CN"/>
        </w:rPr>
        <w:t xml:space="preserve">                </w:t>
      </w:r>
      <w:r>
        <w:rPr>
          <w:rFonts w:hint="eastAsia" w:ascii="黑体" w:hAnsi="黑体" w:eastAsia="黑体"/>
          <w:sz w:val="30"/>
          <w:szCs w:val="30"/>
          <w:u w:val="single"/>
          <w:lang w:eastAsia="zh-CN"/>
        </w:rPr>
        <w:t xml:space="preserve"> </w:t>
      </w:r>
      <w:r>
        <w:rPr>
          <w:rFonts w:ascii="黑体" w:hAnsi="黑体" w:eastAsia="黑体"/>
          <w:sz w:val="30"/>
          <w:szCs w:val="30"/>
          <w:u w:val="single"/>
          <w:lang w:eastAsia="zh-CN"/>
        </w:rPr>
        <w:t xml:space="preserve">            </w:t>
      </w:r>
    </w:p>
    <w:p>
      <w:pPr>
        <w:spacing w:line="480" w:lineRule="exact"/>
        <w:ind w:firstLine="594" w:firstLineChars="198"/>
        <w:rPr>
          <w:rFonts w:hint="eastAsia" w:ascii="黑体" w:hAnsi="黑体" w:eastAsia="黑体"/>
          <w:sz w:val="30"/>
          <w:szCs w:val="30"/>
          <w:lang w:eastAsia="zh-CN"/>
        </w:rPr>
      </w:pP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根据《中华人民共和国</w:t>
      </w:r>
      <w:r>
        <w:rPr>
          <w:rFonts w:hint="eastAsia" w:ascii="仿宋_GB2312" w:hAnsi="宋体" w:eastAsia="仿宋_GB2312"/>
          <w:sz w:val="28"/>
          <w:szCs w:val="28"/>
          <w:lang w:val="en-US" w:eastAsia="zh-CN"/>
        </w:rPr>
        <w:t>民法典</w:t>
      </w:r>
      <w:r>
        <w:rPr>
          <w:rFonts w:hint="eastAsia" w:ascii="仿宋_GB2312" w:hAnsi="宋体" w:eastAsia="仿宋_GB2312"/>
          <w:sz w:val="28"/>
          <w:szCs w:val="28"/>
          <w:lang w:eastAsia="zh-CN"/>
        </w:rPr>
        <w:t>》、《中华人民共和国医用耗材管理法》、《国务院办公厅关于完善公立医院医用耗材集中采购采购工作的指导意见》（国办发〔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号）、《国家卫生计生委关于落实完善公立医院医用耗材集中采购工作指导意见的通知》（国卫药政发〔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号）、《西藏自治区人民政府办公厅关于印发西藏自治区公立医疗卫生机构医用耗材集中采购实施方案（2016版）的通知》（藏政办发〔2016〕93号）、《2</w:t>
      </w:r>
      <w:r>
        <w:rPr>
          <w:rFonts w:ascii="仿宋_GB2312" w:hAnsi="宋体" w:eastAsia="仿宋_GB2312"/>
          <w:sz w:val="28"/>
          <w:szCs w:val="28"/>
          <w:lang w:eastAsia="zh-CN"/>
        </w:rPr>
        <w:t>01</w:t>
      </w:r>
      <w:r>
        <w:rPr>
          <w:rFonts w:hint="eastAsia" w:ascii="仿宋_GB2312" w:hAnsi="宋体" w:eastAsia="仿宋_GB2312"/>
          <w:sz w:val="28"/>
          <w:szCs w:val="28"/>
          <w:lang w:eastAsia="zh-CN"/>
        </w:rPr>
        <w:t>7年西藏自治区公立医疗卫生机构医用耗材集中采购实施细则</w:t>
      </w:r>
      <w:r>
        <w:rPr>
          <w:rFonts w:ascii="仿宋_GB2312" w:hAnsi="宋体" w:eastAsia="仿宋_GB2312"/>
          <w:sz w:val="28"/>
          <w:szCs w:val="28"/>
          <w:lang w:eastAsia="zh-CN"/>
        </w:rPr>
        <w:t>(</w:t>
      </w:r>
      <w:r>
        <w:rPr>
          <w:rFonts w:hint="eastAsia" w:ascii="仿宋_GB2312" w:hAnsi="宋体" w:eastAsia="仿宋_GB2312"/>
          <w:sz w:val="28"/>
          <w:szCs w:val="28"/>
          <w:lang w:eastAsia="zh-CN"/>
        </w:rPr>
        <w:t>试行</w:t>
      </w:r>
      <w:r>
        <w:rPr>
          <w:rFonts w:ascii="仿宋_GB2312" w:hAnsi="宋体" w:eastAsia="仿宋_GB2312"/>
          <w:sz w:val="28"/>
          <w:szCs w:val="28"/>
          <w:lang w:eastAsia="zh-CN"/>
        </w:rPr>
        <w:t>)</w:t>
      </w:r>
      <w:r>
        <w:rPr>
          <w:rFonts w:hint="eastAsia" w:ascii="仿宋_GB2312" w:hAnsi="宋体" w:eastAsia="仿宋_GB2312"/>
          <w:sz w:val="28"/>
          <w:szCs w:val="28"/>
          <w:lang w:eastAsia="zh-CN"/>
        </w:rPr>
        <w:t>》（藏卫发〔2017〕317号）等有关规定，为确保医用耗材网上交易的顺利进行，明确交易双方的权利和义务，甲乙双方遵循平等、自愿、公平和诚实信用的原则，经双方协商一致签订本合同，共同遵守。</w:t>
      </w:r>
    </w:p>
    <w:p>
      <w:pPr>
        <w:spacing w:line="464" w:lineRule="exact"/>
        <w:ind w:firstLine="560" w:firstLineChars="200"/>
        <w:rPr>
          <w:rFonts w:hint="eastAsia" w:ascii="黑体" w:hAnsi="宋体" w:eastAsia="黑体"/>
          <w:sz w:val="28"/>
          <w:szCs w:val="28"/>
          <w:lang w:eastAsia="zh-CN"/>
        </w:rPr>
      </w:pPr>
      <w:r>
        <w:rPr>
          <w:rFonts w:hint="eastAsia" w:ascii="黑体" w:hAnsi="宋体" w:eastAsia="黑体"/>
          <w:sz w:val="28"/>
          <w:szCs w:val="28"/>
          <w:lang w:eastAsia="zh-CN"/>
        </w:rPr>
        <w:t>第一条</w:t>
      </w:r>
      <w:r>
        <w:rPr>
          <w:rFonts w:ascii="黑体" w:hAnsi="宋体" w:eastAsia="黑体"/>
          <w:sz w:val="28"/>
          <w:szCs w:val="28"/>
          <w:lang w:eastAsia="zh-CN"/>
        </w:rPr>
        <w:t xml:space="preserve">  </w:t>
      </w:r>
      <w:r>
        <w:rPr>
          <w:rFonts w:hint="eastAsia" w:ascii="黑体" w:hAnsi="宋体" w:eastAsia="黑体"/>
          <w:sz w:val="28"/>
          <w:szCs w:val="28"/>
          <w:lang w:eastAsia="zh-CN"/>
        </w:rPr>
        <w:t>合同医用耗材</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一、甲方须通过西藏自治区医用耗材（</w:t>
      </w:r>
      <w:r>
        <w:rPr>
          <w:rFonts w:hint="eastAsia" w:ascii="仿宋_GB2312" w:hAnsi="宋体" w:eastAsia="仿宋_GB2312"/>
          <w:sz w:val="28"/>
          <w:szCs w:val="28"/>
          <w:lang w:val="en-US" w:eastAsia="zh-CN"/>
        </w:rPr>
        <w:t>四川</w:t>
      </w:r>
      <w:r>
        <w:rPr>
          <w:rFonts w:hint="eastAsia" w:ascii="仿宋_GB2312" w:hAnsi="宋体" w:eastAsia="仿宋_GB2312"/>
          <w:sz w:val="28"/>
          <w:szCs w:val="28"/>
          <w:lang w:eastAsia="zh-CN"/>
        </w:rPr>
        <w:t>）集中采购网采购中标/挂网品种。</w:t>
      </w:r>
    </w:p>
    <w:p>
      <w:pPr>
        <w:spacing w:line="464" w:lineRule="exact"/>
        <w:ind w:firstLine="560" w:firstLineChars="200"/>
        <w:rPr>
          <w:rFonts w:ascii="仿宋_GB2312" w:hAnsi="宋体" w:eastAsia="仿宋_GB2312" w:cs="宋体"/>
          <w:color w:val="000000"/>
          <w:sz w:val="28"/>
          <w:szCs w:val="28"/>
          <w:lang w:val="zh-CN" w:eastAsia="zh-CN"/>
        </w:rPr>
      </w:pPr>
      <w:r>
        <w:rPr>
          <w:rFonts w:hint="eastAsia" w:ascii="仿宋_GB2312" w:hAnsi="宋体" w:eastAsia="仿宋_GB2312"/>
          <w:sz w:val="28"/>
          <w:szCs w:val="28"/>
          <w:lang w:eastAsia="zh-CN"/>
        </w:rPr>
        <w:t>二、乙方按医用耗材购销合同向甲方供应医用耗材。应保证甲方在使用医用耗材时免受第三方提出的有关专利权、商标权或保护期等方面的权利要求。</w:t>
      </w:r>
      <w:r>
        <w:rPr>
          <w:rFonts w:hint="eastAsia" w:ascii="仿宋_GB2312" w:hAnsi="宋体" w:eastAsia="仿宋_GB2312"/>
          <w:sz w:val="28"/>
          <w:szCs w:val="28"/>
        </w:rPr>
        <w:t>如果乙方供应的</w:t>
      </w:r>
      <w:r>
        <w:rPr>
          <w:rFonts w:hint="eastAsia" w:ascii="仿宋_GB2312" w:hAnsi="宋体" w:eastAsia="仿宋_GB2312"/>
          <w:sz w:val="28"/>
          <w:szCs w:val="28"/>
          <w:lang w:eastAsia="zh-CN"/>
        </w:rPr>
        <w:t>医用耗材</w:t>
      </w:r>
      <w:r>
        <w:rPr>
          <w:rFonts w:hint="eastAsia" w:ascii="仿宋_GB2312" w:hAnsi="宋体" w:eastAsia="仿宋_GB2312"/>
          <w:sz w:val="28"/>
          <w:szCs w:val="28"/>
        </w:rPr>
        <w:t>被第三方提出上述权利主张，乙方应当赔偿由此造成甲方的全部损失，包括但不限于甲方不能正常使用该批</w:t>
      </w:r>
      <w:r>
        <w:rPr>
          <w:rFonts w:hint="eastAsia" w:ascii="仿宋_GB2312" w:hAnsi="宋体" w:eastAsia="仿宋_GB2312"/>
          <w:sz w:val="28"/>
          <w:szCs w:val="28"/>
          <w:lang w:eastAsia="zh-CN"/>
        </w:rPr>
        <w:t>医用耗材</w:t>
      </w:r>
      <w:r>
        <w:rPr>
          <w:rFonts w:hint="eastAsia" w:ascii="仿宋_GB2312" w:hAnsi="宋体" w:eastAsia="仿宋_GB2312"/>
          <w:sz w:val="28"/>
          <w:szCs w:val="28"/>
        </w:rPr>
        <w:t>造成的损失，甲方向第三方支付的赔偿，甲方应对该等纠纷产生的全部费用等</w:t>
      </w:r>
      <w:r>
        <w:rPr>
          <w:rFonts w:hint="eastAsia" w:ascii="仿宋_GB2312" w:hAnsi="宋体" w:eastAsia="仿宋_GB2312"/>
          <w:sz w:val="28"/>
          <w:szCs w:val="28"/>
          <w:lang w:eastAsia="zh-CN"/>
        </w:rPr>
        <w:t>。所供应医用耗材的质量应符合国家医用耗材相关标准，医用耗材质量、规格、包装须与中标和挂网医用耗材的信息一</w:t>
      </w:r>
      <w:r>
        <w:rPr>
          <w:rFonts w:hint="eastAsia" w:ascii="仿宋_GB2312" w:hAnsi="宋体" w:eastAsia="仿宋_GB2312" w:cs="宋体"/>
          <w:color w:val="000000"/>
          <w:sz w:val="28"/>
          <w:szCs w:val="28"/>
          <w:lang w:val="zh-CN" w:eastAsia="zh-CN"/>
        </w:rPr>
        <w:t>致，不得更改。</w:t>
      </w:r>
      <w:r>
        <w:rPr>
          <w:rFonts w:hint="eastAsia" w:ascii="仿宋_GB2312" w:hAnsi="宋体" w:eastAsia="仿宋_GB2312"/>
          <w:sz w:val="28"/>
          <w:szCs w:val="28"/>
          <w:lang w:eastAsia="zh-CN"/>
        </w:rPr>
        <w:t>甲方与乙方签订的医用耗材购销合同附表（详见附件）、甲方发出的网上批次订单属于医用耗材购销合同的一个组成部分，与本合同具有同等法律效力。</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第二条</w:t>
      </w:r>
      <w:r>
        <w:rPr>
          <w:rFonts w:ascii="黑体" w:hAnsi="宋体" w:eastAsia="黑体"/>
          <w:sz w:val="28"/>
          <w:szCs w:val="28"/>
          <w:lang w:eastAsia="zh-CN"/>
        </w:rPr>
        <w:t xml:space="preserve">  </w:t>
      </w:r>
      <w:r>
        <w:rPr>
          <w:rFonts w:hint="eastAsia" w:ascii="黑体" w:hAnsi="宋体" w:eastAsia="黑体"/>
          <w:sz w:val="28"/>
          <w:szCs w:val="28"/>
          <w:lang w:eastAsia="zh-CN"/>
        </w:rPr>
        <w:t xml:space="preserve">供货期限 </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甲方有权要求乙方按时足量地对挂网中标医用耗材进行配送。乙方应自甲方订单通知之日起</w:t>
      </w:r>
      <w:r>
        <w:rPr>
          <w:rFonts w:hint="eastAsia" w:ascii="仿宋_GB2312" w:hAnsi="宋体" w:eastAsia="仿宋_GB2312" w:cs="宋体"/>
          <w:sz w:val="28"/>
          <w:szCs w:val="28"/>
          <w:lang w:val="en-US" w:eastAsia="zh-CN"/>
        </w:rPr>
        <w:t>1</w:t>
      </w:r>
      <w:r>
        <w:rPr>
          <w:rFonts w:hint="eastAsia" w:ascii="仿宋_GB2312" w:hAnsi="宋体" w:eastAsia="仿宋_GB2312" w:cs="宋体"/>
          <w:sz w:val="28"/>
          <w:szCs w:val="28"/>
          <w:lang w:eastAsia="zh-CN"/>
        </w:rPr>
        <w:t>日内响应订单，并按照约定的医用耗材品规配送医用耗材。原则上急（抢）救医用耗材配送8小时内送达，一般医用耗材配送</w:t>
      </w:r>
      <w:r>
        <w:rPr>
          <w:rFonts w:ascii="仿宋_GB2312" w:hAnsi="宋体" w:eastAsia="仿宋_GB2312" w:cs="宋体"/>
          <w:sz w:val="28"/>
          <w:szCs w:val="28"/>
          <w:lang w:eastAsia="zh-CN"/>
        </w:rPr>
        <w:t>24</w:t>
      </w:r>
      <w:r>
        <w:rPr>
          <w:rFonts w:hint="eastAsia" w:ascii="仿宋_GB2312" w:hAnsi="宋体" w:eastAsia="仿宋_GB2312" w:cs="宋体"/>
          <w:sz w:val="28"/>
          <w:szCs w:val="28"/>
          <w:lang w:eastAsia="zh-CN"/>
        </w:rPr>
        <w:t>小时内送达，最长不超过72小时。节假日照常配送。</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第三条</w:t>
      </w:r>
      <w:r>
        <w:rPr>
          <w:rFonts w:ascii="黑体" w:hAnsi="宋体" w:eastAsia="黑体"/>
          <w:sz w:val="28"/>
          <w:szCs w:val="28"/>
          <w:lang w:eastAsia="zh-CN"/>
        </w:rPr>
        <w:t xml:space="preserve">  </w:t>
      </w:r>
      <w:r>
        <w:rPr>
          <w:rFonts w:hint="eastAsia" w:ascii="黑体" w:hAnsi="宋体" w:eastAsia="黑体"/>
          <w:sz w:val="28"/>
          <w:szCs w:val="28"/>
          <w:lang w:eastAsia="zh-CN"/>
        </w:rPr>
        <w:t>采购价格</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甲方按自治区采购平台公布的中标价格，或与医用耗材生产企业议定的交易价格进行网上采购，该价格包含成本、运输、包装、伴随服务、税费及其他附加费等一切服务费用。合同履行期间，如遇政策性调价，按采购平台更新后的价格执行。</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第四条</w:t>
      </w:r>
      <w:r>
        <w:rPr>
          <w:rFonts w:ascii="黑体" w:hAnsi="宋体" w:eastAsia="黑体"/>
          <w:sz w:val="28"/>
          <w:szCs w:val="28"/>
          <w:lang w:eastAsia="zh-CN"/>
        </w:rPr>
        <w:t xml:space="preserve">  </w:t>
      </w:r>
      <w:r>
        <w:rPr>
          <w:rFonts w:hint="eastAsia" w:ascii="黑体" w:hAnsi="宋体" w:eastAsia="黑体"/>
          <w:sz w:val="28"/>
          <w:szCs w:val="28"/>
          <w:lang w:eastAsia="zh-CN"/>
        </w:rPr>
        <w:t>货款结算</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一、甲方应将医用耗材收支纳入预算管理，严格按照合同约定的时间支付货款，</w:t>
      </w:r>
      <w:r>
        <w:rPr>
          <w:rFonts w:hint="eastAsia" w:ascii="仿宋_GB2312" w:hAnsi="宋体" w:eastAsia="仿宋_GB2312" w:cs="宋体"/>
          <w:sz w:val="28"/>
          <w:szCs w:val="28"/>
        </w:rPr>
        <w:t>除本合同另有约定外</w:t>
      </w:r>
      <w:r>
        <w:rPr>
          <w:rFonts w:hint="eastAsia" w:ascii="仿宋_GB2312" w:hAnsi="宋体" w:eastAsia="仿宋_GB2312" w:cs="宋体"/>
          <w:sz w:val="28"/>
          <w:szCs w:val="28"/>
          <w:lang w:eastAsia="zh-CN"/>
        </w:rPr>
        <w:t>，从交货验收合格到付款时间不得超过</w:t>
      </w:r>
      <w:r>
        <w:rPr>
          <w:rFonts w:ascii="仿宋_GB2312" w:hAnsi="宋体" w:eastAsia="仿宋_GB2312" w:cs="宋体"/>
          <w:sz w:val="28"/>
          <w:szCs w:val="28"/>
          <w:lang w:eastAsia="zh-CN"/>
        </w:rPr>
        <w:t>30</w:t>
      </w:r>
      <w:r>
        <w:rPr>
          <w:rFonts w:hint="eastAsia" w:ascii="仿宋_GB2312" w:hAnsi="宋体" w:eastAsia="仿宋_GB2312" w:cs="宋体"/>
          <w:sz w:val="28"/>
          <w:szCs w:val="28"/>
          <w:lang w:eastAsia="zh-CN"/>
        </w:rPr>
        <w:t>天。</w:t>
      </w:r>
    </w:p>
    <w:p>
      <w:pPr>
        <w:spacing w:line="464" w:lineRule="exact"/>
        <w:ind w:firstLine="560" w:firstLineChars="200"/>
        <w:rPr>
          <w:rFonts w:hint="eastAsia" w:ascii="仿宋_GB2312" w:hAnsi="宋体" w:eastAsia="仿宋_GB2312" w:cs="宋体"/>
          <w:sz w:val="28"/>
          <w:szCs w:val="28"/>
          <w:lang w:eastAsia="zh-CN"/>
        </w:rPr>
      </w:pPr>
      <w:r>
        <w:rPr>
          <w:rFonts w:hint="eastAsia" w:ascii="仿宋_GB2312" w:hAnsi="宋体" w:eastAsia="仿宋_GB2312" w:cs="宋体"/>
          <w:sz w:val="28"/>
          <w:szCs w:val="28"/>
          <w:lang w:eastAsia="zh-CN"/>
        </w:rPr>
        <w:t>二、付款前，乙方应向甲方提供采购医用耗材的增值税发票和有关单据。</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第五条</w:t>
      </w:r>
      <w:r>
        <w:rPr>
          <w:rFonts w:ascii="黑体" w:hAnsi="宋体" w:eastAsia="黑体"/>
          <w:sz w:val="28"/>
          <w:szCs w:val="28"/>
          <w:lang w:eastAsia="zh-CN"/>
        </w:rPr>
        <w:t xml:space="preserve">  </w:t>
      </w:r>
      <w:r>
        <w:rPr>
          <w:rFonts w:hint="eastAsia" w:ascii="黑体" w:hAnsi="宋体" w:eastAsia="黑体"/>
          <w:sz w:val="28"/>
          <w:szCs w:val="28"/>
          <w:lang w:eastAsia="zh-CN"/>
        </w:rPr>
        <w:t>医用耗材验收及异议</w:t>
      </w:r>
    </w:p>
    <w:p>
      <w:pPr>
        <w:spacing w:line="464" w:lineRule="exact"/>
        <w:ind w:firstLine="560" w:firstLineChars="200"/>
        <w:rPr>
          <w:rFonts w:ascii="仿宋_GB2312" w:hAnsi="仿宋" w:eastAsia="仿宋_GB2312"/>
          <w:sz w:val="28"/>
          <w:szCs w:val="28"/>
          <w:lang w:eastAsia="zh-CN"/>
        </w:rPr>
      </w:pPr>
      <w:r>
        <w:rPr>
          <w:rFonts w:hint="eastAsia" w:ascii="仿宋_GB2312" w:hAnsi="宋体" w:eastAsia="仿宋_GB2312"/>
          <w:sz w:val="28"/>
          <w:szCs w:val="28"/>
          <w:lang w:eastAsia="zh-CN"/>
        </w:rPr>
        <w:t>一、甲方按照《医用耗材管理法》相关的验收制度和医用耗材发票（国家税务）在甲方药库，对乙方医用耗材予以验收，原则上3个工作日内完成医用耗材验收入库及网上确认，甲方签字验收后即视为验收合格。同时查验乙方依法必须具备的营业执照、医用耗材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经营许可证、医用耗材生产批件、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等证件，对不符合质量、有效期、包装和订单数量要求、证书无效或者证书不全，以及双方约定的其他要求的医用耗材，甲方有权拒绝接收，乙方应对不符合医用耗材的医用耗材在</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日内进行退换，不得影响甲方临床使用。</w:t>
      </w:r>
      <w:r>
        <w:rPr>
          <w:rFonts w:hint="eastAsia" w:ascii="仿宋_GB2312" w:hAnsi="宋体" w:eastAsia="仿宋_GB2312"/>
          <w:sz w:val="28"/>
          <w:szCs w:val="28"/>
        </w:rPr>
        <w:t>乙方拒绝更换的，视为乙方不能正常交付</w:t>
      </w:r>
      <w:r>
        <w:rPr>
          <w:rFonts w:hint="eastAsia" w:ascii="仿宋_GB2312" w:hAnsi="宋体" w:eastAsia="仿宋_GB2312"/>
          <w:sz w:val="28"/>
          <w:szCs w:val="28"/>
          <w:lang w:eastAsia="zh-CN"/>
        </w:rPr>
        <w:t>医用耗材</w:t>
      </w:r>
      <w:r>
        <w:rPr>
          <w:rFonts w:hint="eastAsia" w:ascii="仿宋_GB2312" w:hAnsi="宋体" w:eastAsia="仿宋_GB2312"/>
          <w:sz w:val="28"/>
          <w:szCs w:val="28"/>
        </w:rPr>
        <w:t>，乙方应当按照本合同及双方具体的买卖合同的约定向甲方承担违约责任。</w:t>
      </w:r>
      <w:r>
        <w:rPr>
          <w:rFonts w:hint="eastAsia" w:ascii="仿宋_GB2312" w:hAnsi="宋体" w:eastAsia="仿宋_GB2312"/>
          <w:sz w:val="28"/>
          <w:szCs w:val="28"/>
          <w:lang w:eastAsia="zh-CN"/>
        </w:rPr>
        <w:t>如确认需要进行医用耗材质量检验，应及时以书面形式把质量检验的具体要求通知乙方。如发现医用耗材存在质量问题，可暂时封存，并采取有效的补救措施。因验收不严、使用、保管、保养不善等自身原因造成产品失效或质量下降的，后果自负。</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二、乙方按合同交付的医用耗材质量应符合药典或国家食品医用耗材监督管理部门规定的标准，向甲方提供依法必须具备的营业执照、医用耗材生产</w:t>
      </w:r>
      <w:r>
        <w:rPr>
          <w:rFonts w:ascii="仿宋_GB2312" w:hAnsi="宋体" w:eastAsia="仿宋_GB2312"/>
          <w:sz w:val="28"/>
          <w:szCs w:val="28"/>
          <w:lang w:eastAsia="zh-CN"/>
        </w:rPr>
        <w:t>/</w:t>
      </w:r>
      <w:r>
        <w:rPr>
          <w:rFonts w:hint="eastAsia" w:ascii="仿宋_GB2312" w:hAnsi="宋体" w:eastAsia="仿宋_GB2312"/>
          <w:sz w:val="28"/>
          <w:szCs w:val="28"/>
          <w:lang w:eastAsia="zh-CN"/>
        </w:rPr>
        <w:t>经营许可证、医用耗材生产批件、</w:t>
      </w:r>
      <w:r>
        <w:rPr>
          <w:rFonts w:ascii="仿宋_GB2312" w:hAnsi="宋体" w:eastAsia="仿宋_GB2312"/>
          <w:sz w:val="28"/>
          <w:szCs w:val="28"/>
          <w:lang w:eastAsia="zh-CN"/>
        </w:rPr>
        <w:t>GMP</w:t>
      </w:r>
      <w:r>
        <w:rPr>
          <w:rFonts w:hint="eastAsia" w:ascii="仿宋_GB2312" w:hAnsi="宋体" w:eastAsia="仿宋_GB2312"/>
          <w:sz w:val="28"/>
          <w:szCs w:val="28"/>
          <w:lang w:eastAsia="zh-CN"/>
        </w:rPr>
        <w:t>、</w:t>
      </w:r>
      <w:r>
        <w:rPr>
          <w:rFonts w:ascii="仿宋_GB2312" w:hAnsi="宋体" w:eastAsia="仿宋_GB2312"/>
          <w:sz w:val="28"/>
          <w:szCs w:val="28"/>
          <w:lang w:eastAsia="zh-CN"/>
        </w:rPr>
        <w:t>GSP</w:t>
      </w:r>
      <w:r>
        <w:rPr>
          <w:rFonts w:hint="eastAsia" w:ascii="仿宋_GB2312" w:hAnsi="宋体" w:eastAsia="仿宋_GB2312"/>
          <w:sz w:val="28"/>
          <w:szCs w:val="28"/>
          <w:lang w:eastAsia="zh-CN"/>
        </w:rPr>
        <w:t>等证件供查验，并与承诺的质量相一致，以确保临床用药安全有效。采购周期内遇到药监部门抽查甲方的医用耗材，其抽查数量由乙方补齐，对存在问题的医用耗材所产生的查封、没收、罚款等，由乙方承担责任。按甲方要求提供相应的药检报告书，并将医用耗材送到甲方指定地点进行检验。</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三、乙方所提供的医用耗材有效期限不得少于整个医用耗材有效期的</w:t>
      </w:r>
      <w:r>
        <w:rPr>
          <w:rFonts w:ascii="仿宋_GB2312" w:hAnsi="宋体" w:eastAsia="仿宋_GB2312"/>
          <w:sz w:val="28"/>
          <w:szCs w:val="28"/>
          <w:lang w:eastAsia="zh-CN"/>
        </w:rPr>
        <w:t>2/3</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四、乙方应接受存在质量问题医用耗材的退货，并负责自行到各医疗卫生机构收回所退医用耗材，同时登录平台确认退货。</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五、对于上述退货药款，甲方与乙方尚有未结款的，可在双方结算时直接从未结款中扣除；如双方不存在未结款项，乙方应在退货后</w:t>
      </w:r>
      <w:r>
        <w:rPr>
          <w:rFonts w:ascii="仿宋_GB2312" w:hAnsi="宋体" w:eastAsia="仿宋_GB2312"/>
          <w:sz w:val="28"/>
          <w:szCs w:val="28"/>
          <w:lang w:eastAsia="zh-CN"/>
        </w:rPr>
        <w:t>30</w:t>
      </w:r>
      <w:r>
        <w:rPr>
          <w:rFonts w:hint="eastAsia" w:ascii="仿宋_GB2312" w:hAnsi="宋体" w:eastAsia="仿宋_GB2312"/>
          <w:sz w:val="28"/>
          <w:szCs w:val="28"/>
          <w:lang w:eastAsia="zh-CN"/>
        </w:rPr>
        <w:t>个工作日内将退货药款返还给甲方。</w:t>
      </w:r>
    </w:p>
    <w:p>
      <w:pPr>
        <w:spacing w:line="464" w:lineRule="exact"/>
        <w:ind w:firstLine="560" w:firstLineChars="200"/>
        <w:rPr>
          <w:rFonts w:ascii="黑体" w:hAnsi="宋体" w:eastAsia="黑体" w:cs="宋体"/>
          <w:sz w:val="28"/>
          <w:szCs w:val="28"/>
          <w:lang w:eastAsia="zh-CN"/>
        </w:rPr>
      </w:pPr>
      <w:r>
        <w:rPr>
          <w:rFonts w:hint="eastAsia" w:ascii="黑体" w:hAnsi="宋体" w:eastAsia="黑体"/>
          <w:sz w:val="28"/>
          <w:szCs w:val="28"/>
          <w:lang w:eastAsia="zh-CN"/>
        </w:rPr>
        <w:t>第六条</w:t>
      </w:r>
      <w:r>
        <w:rPr>
          <w:rFonts w:ascii="黑体" w:hAnsi="宋体" w:eastAsia="黑体"/>
          <w:sz w:val="28"/>
          <w:szCs w:val="28"/>
          <w:lang w:eastAsia="zh-CN"/>
        </w:rPr>
        <w:t xml:space="preserve">  </w:t>
      </w:r>
      <w:r>
        <w:rPr>
          <w:rFonts w:hint="eastAsia" w:ascii="黑体" w:hAnsi="宋体" w:eastAsia="黑体"/>
          <w:sz w:val="28"/>
          <w:szCs w:val="28"/>
          <w:lang w:eastAsia="zh-CN"/>
        </w:rPr>
        <w:t>伴随服务</w:t>
      </w:r>
    </w:p>
    <w:p>
      <w:pPr>
        <w:spacing w:line="464" w:lineRule="exact"/>
        <w:ind w:firstLine="560" w:firstLineChars="200"/>
        <w:rPr>
          <w:rFonts w:ascii="仿宋_GB2312" w:hAnsi="宋体" w:eastAsia="仿宋_GB2312" w:cs="宋体"/>
          <w:sz w:val="28"/>
          <w:szCs w:val="28"/>
          <w:lang w:eastAsia="zh-CN"/>
        </w:rPr>
      </w:pPr>
      <w:r>
        <w:rPr>
          <w:rFonts w:hint="eastAsia" w:ascii="仿宋_GB2312" w:hAnsi="宋体" w:eastAsia="仿宋_GB2312"/>
          <w:sz w:val="28"/>
          <w:szCs w:val="28"/>
          <w:lang w:eastAsia="zh-CN"/>
        </w:rPr>
        <w:t>一、乙方可能被要求提供下列服务中的一项或全部服务：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（一）产品的现场搬运或入库。</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（二）提供产品开箱或分装的用具。</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（三）对开箱时发现的破损、近效期产品或其他不合格包装产品及时更换。</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（四）在甲方指定地点为所供医用耗材的临床应用进行现场讲解或培训。</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（五）其他乙方应提供的相关服务项目。</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二、交易价格已包含上述伴随服务涉及的费用，提供以上服务不得另行收费。</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hint="eastAsia" w:ascii="黑体" w:hAnsi="宋体" w:eastAsia="黑体"/>
          <w:sz w:val="28"/>
          <w:szCs w:val="28"/>
          <w:lang w:eastAsia="zh-CN"/>
        </w:rPr>
        <w:t>第七条</w:t>
      </w:r>
      <w:r>
        <w:rPr>
          <w:rFonts w:ascii="黑体" w:hAnsi="宋体" w:eastAsia="黑体"/>
          <w:sz w:val="28"/>
          <w:szCs w:val="28"/>
          <w:lang w:eastAsia="zh-CN"/>
        </w:rPr>
        <w:t xml:space="preserve">  </w:t>
      </w:r>
      <w:r>
        <w:rPr>
          <w:rFonts w:hint="eastAsia" w:ascii="黑体" w:hAnsi="宋体" w:eastAsia="黑体"/>
          <w:sz w:val="28"/>
          <w:szCs w:val="28"/>
          <w:lang w:eastAsia="zh-CN"/>
        </w:rPr>
        <w:t>甲方履约责任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乙双方在执行本合同时，应严格遵守国家相关法律、法规和医用耗材集中采购有关规定，自觉接受监督管理。因一方违犯国家相关法规而给对方造成不良后果及损失的，有过错方承担赔偿责任；双方都有过错的，各自承担相应的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w:t>
      </w:r>
      <w:r>
        <w:rPr>
          <w:rFonts w:hint="eastAsia" w:ascii="仿宋_GB2312" w:hAnsi="宋体" w:eastAsia="仿宋_GB2312"/>
          <w:sz w:val="28"/>
          <w:szCs w:val="28"/>
        </w:rPr>
        <w:t>除双方协商一致外，</w:t>
      </w:r>
      <w:r>
        <w:rPr>
          <w:rFonts w:hint="eastAsia" w:ascii="仿宋_GB2312" w:hAnsi="宋体" w:eastAsia="仿宋_GB2312"/>
          <w:sz w:val="28"/>
          <w:szCs w:val="28"/>
          <w:lang w:eastAsia="zh-CN"/>
        </w:rPr>
        <w:t>甲方必须无条件采购本合同项下的医用耗材。不得无正当理由终止合同。</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三、甲方在合同约定的数量、金额和时限范围内，对乙方配送的合格中标医用耗材，不得以非正当理由拒收或退货。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四、甲方须按照合同规定及时结算货款,</w:t>
      </w:r>
      <w:r>
        <w:rPr>
          <w:rFonts w:hint="eastAsia" w:ascii="仿宋_GB2312" w:hAnsi="仿宋" w:eastAsia="仿宋_GB2312"/>
          <w:color w:val="000000"/>
          <w:sz w:val="28"/>
          <w:szCs w:val="28"/>
          <w:lang w:eastAsia="zh-CN"/>
        </w:rPr>
        <w:t xml:space="preserve"> 并严格执行“两票制”</w:t>
      </w:r>
      <w:r>
        <w:rPr>
          <w:rFonts w:hint="eastAsia" w:ascii="仿宋_GB2312" w:hAnsi="宋体" w:eastAsia="仿宋_GB2312"/>
          <w:sz w:val="28"/>
          <w:szCs w:val="28"/>
          <w:lang w:eastAsia="zh-CN"/>
        </w:rPr>
        <w:t>。</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五、甲方必须要求乙方按实际采购价格如实开具发票，并如实记帐。</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六、甲方不得以任何理由向乙方提出除合同项以外的集体或个人利益。</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七、甲方不得以任何理由向乙方索要任何名义的赞助或捐赠。</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八、在合同执行过程中，对乙方的违法违纪行为应及时举报。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九、法律法规的其他相关规定。</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第八条</w:t>
      </w:r>
      <w:r>
        <w:rPr>
          <w:rFonts w:ascii="黑体" w:hAnsi="宋体" w:eastAsia="黑体"/>
          <w:sz w:val="28"/>
          <w:szCs w:val="28"/>
          <w:lang w:eastAsia="zh-CN"/>
        </w:rPr>
        <w:t xml:space="preserve">  </w:t>
      </w:r>
      <w:r>
        <w:rPr>
          <w:rFonts w:hint="eastAsia" w:ascii="黑体" w:hAnsi="宋体" w:eastAsia="黑体"/>
          <w:sz w:val="28"/>
          <w:szCs w:val="28"/>
          <w:lang w:eastAsia="zh-CN"/>
        </w:rPr>
        <w:t>乙方履约责任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一、乙方应保证有足够的备货数量，以免产生缺货现象。并且按购销合同签订采购的医用耗材向甲方供应医用耗材。</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乙方承诺提供的全部医用耗材不应存在任何知识产权争议或其它纠纷。如因此造成乙方无法正常供货或第三方向甲方主张权利等纠纷，均与甲方无关，由乙方自行承担费用予以解决；因此导致甲方权益受损，乙方承担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三、乙方所供应医用耗材的质量应符合国家医用耗材相关标准，医用耗材质量、规格、包装须与中标、议价成交医用耗材品种的信息一致，不得更改。</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四、已确认的议价成交的医用耗材，自签订购销合同之日起至本次采购周期结束，乙方不得自行弃标和不予供货。</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五、乙方不得为谋取自身利益向甲方医务人员提供贿赂，不得暗中给予回扣或者取得其它不正当利益。如有违反，根据有关规定和有关法律、法规、规章等依法查处。</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六、乙方不得在销售医用耗材或者提供服务过程中利用财物或者其它方式进行商业贿赂。</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七、在合同执行过程中，</w:t>
      </w:r>
      <w:r>
        <w:rPr>
          <w:rFonts w:hint="eastAsia" w:ascii="仿宋_GB2312" w:hAnsi="仿宋" w:eastAsia="仿宋_GB2312"/>
          <w:color w:val="000000"/>
          <w:sz w:val="28"/>
          <w:szCs w:val="28"/>
          <w:lang w:eastAsia="zh-CN"/>
        </w:rPr>
        <w:t>严格执行“两票制”，</w:t>
      </w:r>
      <w:r>
        <w:rPr>
          <w:rFonts w:hint="eastAsia" w:ascii="仿宋_GB2312" w:hAnsi="宋体" w:eastAsia="仿宋_GB2312"/>
          <w:sz w:val="28"/>
          <w:szCs w:val="28"/>
          <w:lang w:eastAsia="zh-CN"/>
        </w:rPr>
        <w:t>对甲方的违法违纪行为应及时举报。</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八、法律、法规的其它相关规定。</w:t>
      </w:r>
    </w:p>
    <w:p>
      <w:pPr>
        <w:spacing w:line="464" w:lineRule="exact"/>
        <w:rPr>
          <w:rFonts w:ascii="黑体" w:hAnsi="宋体" w:eastAsia="黑体"/>
          <w:sz w:val="28"/>
          <w:szCs w:val="28"/>
          <w:lang w:eastAsia="zh-CN"/>
        </w:rPr>
      </w:pPr>
      <w:r>
        <w:rPr>
          <w:rFonts w:ascii="仿宋_GB2312" w:hAnsi="宋体" w:eastAsia="仿宋_GB2312"/>
          <w:b/>
          <w:sz w:val="28"/>
          <w:szCs w:val="28"/>
          <w:lang w:eastAsia="zh-CN"/>
        </w:rPr>
        <w:t xml:space="preserve">  </w:t>
      </w:r>
      <w:r>
        <w:rPr>
          <w:rFonts w:ascii="黑体" w:hAnsi="宋体" w:eastAsia="黑体"/>
          <w:sz w:val="28"/>
          <w:szCs w:val="28"/>
          <w:lang w:eastAsia="zh-CN"/>
        </w:rPr>
        <w:t xml:space="preserve">  </w:t>
      </w:r>
      <w:r>
        <w:rPr>
          <w:rFonts w:hint="eastAsia" w:ascii="黑体" w:hAnsi="宋体" w:eastAsia="黑体"/>
          <w:sz w:val="28"/>
          <w:szCs w:val="28"/>
          <w:lang w:eastAsia="zh-CN"/>
        </w:rPr>
        <w:t>第九条</w:t>
      </w:r>
      <w:r>
        <w:rPr>
          <w:rFonts w:ascii="黑体" w:hAnsi="宋体" w:eastAsia="黑体"/>
          <w:sz w:val="28"/>
          <w:szCs w:val="28"/>
          <w:lang w:eastAsia="zh-CN"/>
        </w:rPr>
        <w:t xml:space="preserve">  </w:t>
      </w:r>
      <w:r>
        <w:rPr>
          <w:rFonts w:hint="eastAsia" w:ascii="黑体" w:hAnsi="宋体" w:eastAsia="黑体"/>
          <w:sz w:val="28"/>
          <w:szCs w:val="28"/>
          <w:lang w:eastAsia="zh-CN"/>
        </w:rPr>
        <w:t>违约责任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违反本合同的规定，违规采购非挂网中标医用耗材，或无正当理由拒绝收货或违约付款的，承担违约责任，由西藏自治区卫生计生委会同西藏自治区纪检、纠风、检察等相关部门视情节轻重追究有关领导和责任人责任。</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在履行合同的过程中，如果乙方遇到特殊情况不能按时配送医用耗材和提供伴随服务，应及时以书面形式将可能拖延的事实、时间和原因通知甲方。甲方在收到乙方书面通知后，应尽快对情况进行核实，并由甲方确定是否酌情延长交货时间以及是否收取违约金或终止合同。延期应通过修改合同的方式由双方认可并重新签署。</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三、如果乙方无不可抗拒因素，没有按照合同规定的时间配送医用耗材并提供伴随服务，甲方有权从货款中扣除违约金而不影响本合同项下的其它义务的履行。每延误一周的违约金为迟交医用耗材价款的</w:t>
      </w:r>
      <w:r>
        <w:rPr>
          <w:rFonts w:ascii="仿宋_GB2312" w:hAnsi="宋体" w:eastAsia="仿宋_GB2312"/>
          <w:sz w:val="28"/>
          <w:szCs w:val="28"/>
          <w:lang w:eastAsia="zh-CN"/>
        </w:rPr>
        <w:t>5%</w:t>
      </w:r>
      <w:r>
        <w:rPr>
          <w:rFonts w:hint="eastAsia" w:ascii="仿宋_GB2312" w:hAnsi="宋体" w:eastAsia="仿宋_GB2312"/>
          <w:sz w:val="28"/>
          <w:szCs w:val="28"/>
          <w:lang w:eastAsia="zh-CN"/>
        </w:rPr>
        <w:t>，直至提供配送及伴随服务为止。一周按</w:t>
      </w:r>
      <w:r>
        <w:rPr>
          <w:rFonts w:ascii="仿宋_GB2312" w:hAnsi="宋体" w:eastAsia="仿宋_GB2312"/>
          <w:sz w:val="28"/>
          <w:szCs w:val="28"/>
          <w:lang w:eastAsia="zh-CN"/>
        </w:rPr>
        <w:t>7</w:t>
      </w:r>
      <w:r>
        <w:rPr>
          <w:rFonts w:hint="eastAsia" w:ascii="仿宋_GB2312" w:hAnsi="宋体" w:eastAsia="仿宋_GB2312"/>
          <w:sz w:val="28"/>
          <w:szCs w:val="28"/>
          <w:lang w:eastAsia="zh-CN"/>
        </w:rPr>
        <w:t>日计算，不足</w:t>
      </w:r>
      <w:r>
        <w:rPr>
          <w:rFonts w:ascii="仿宋_GB2312" w:hAnsi="宋体" w:eastAsia="仿宋_GB2312"/>
          <w:sz w:val="28"/>
          <w:szCs w:val="28"/>
          <w:lang w:eastAsia="zh-CN"/>
        </w:rPr>
        <w:t>7</w:t>
      </w:r>
      <w:r>
        <w:rPr>
          <w:rFonts w:hint="eastAsia" w:ascii="仿宋_GB2312" w:hAnsi="宋体" w:eastAsia="仿宋_GB2312"/>
          <w:sz w:val="28"/>
          <w:szCs w:val="28"/>
          <w:lang w:eastAsia="zh-CN"/>
        </w:rPr>
        <w:t>日的按一周计算。违约金的最高限额是合同总价的</w:t>
      </w:r>
      <w:r>
        <w:rPr>
          <w:rFonts w:ascii="仿宋_GB2312" w:hAnsi="宋体" w:eastAsia="仿宋_GB2312"/>
          <w:sz w:val="28"/>
          <w:szCs w:val="28"/>
          <w:lang w:eastAsia="zh-CN"/>
        </w:rPr>
        <w:t>10%</w:t>
      </w:r>
      <w:r>
        <w:rPr>
          <w:rFonts w:hint="eastAsia" w:ascii="仿宋_GB2312" w:hAnsi="宋体" w:eastAsia="仿宋_GB2312"/>
          <w:sz w:val="28"/>
          <w:szCs w:val="28"/>
          <w:lang w:eastAsia="zh-CN"/>
        </w:rPr>
        <w:t>，一旦达到违约金的最高限额，甲方可以终止合同，乙方本周期和下一周期不得参加西藏自治区医用耗材集中采购活动，同时将其列入不良记录，向社会公布。</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四、乙方在支付违约金后，还应当履行应尽的配送及伴随服务。</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五、甲方不按合同规定的期限支付货款，应向乙方支付违约金。每延期一天，向乙方赔付未支付货款的万分之五违约金，同时不影响乙方享有已履约事项的权利。</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六、乙方所供医用耗材因医用耗材质量不符合有关规定而造成后果的，按相关法律规定处理。</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七、甲、乙方因违反“两票制”，按相关规定处理。</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第十条</w:t>
      </w:r>
      <w:r>
        <w:rPr>
          <w:rFonts w:ascii="黑体" w:hAnsi="宋体" w:eastAsia="黑体"/>
          <w:sz w:val="28"/>
          <w:szCs w:val="28"/>
          <w:lang w:eastAsia="zh-CN"/>
        </w:rPr>
        <w:t xml:space="preserve">  </w:t>
      </w:r>
      <w:r>
        <w:rPr>
          <w:rFonts w:hint="eastAsia" w:ascii="黑体" w:hAnsi="宋体" w:eastAsia="黑体"/>
          <w:sz w:val="28"/>
          <w:szCs w:val="28"/>
          <w:lang w:eastAsia="zh-CN"/>
        </w:rPr>
        <w:t>不可抗力</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一、合同当事人因不可抗力而导致合同实施延误或不能履行合同义务，不承担误期赔偿或终止合同的责任。</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本条所述的“不可抗力”是指合同双方无法控制、不可预见的事件，但不包括合同某一方的违约或疏忽。这些事件包括但不限于：战争、严重火灾、洪水、台风、地震及其它双方商定的事件。甲乙双方或一方因不可抗力而导致合同实施延误或不能履行合同义务，不承担误期赔偿或终止合同的责任。</w:t>
      </w:r>
    </w:p>
    <w:p>
      <w:pPr>
        <w:spacing w:line="464"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三、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四、在不可抗力事件发生期间，合同双方可不执行“两票制”。</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第十一条</w:t>
      </w:r>
      <w:r>
        <w:rPr>
          <w:rFonts w:ascii="黑体" w:hAnsi="宋体" w:eastAsia="黑体"/>
          <w:sz w:val="28"/>
          <w:szCs w:val="28"/>
          <w:lang w:eastAsia="zh-CN"/>
        </w:rPr>
        <w:t xml:space="preserve">  </w:t>
      </w:r>
      <w:r>
        <w:rPr>
          <w:rFonts w:hint="eastAsia" w:ascii="黑体" w:hAnsi="宋体" w:eastAsia="黑体"/>
          <w:sz w:val="28"/>
          <w:szCs w:val="28"/>
          <w:lang w:eastAsia="zh-CN"/>
        </w:rPr>
        <w:t>合同的变更及解除</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在履行合同的过程中，乙方应按照医用耗材购销合同中甲方规定的时间，配送医用耗材并提供伴随服务。如果乙方遇到妨碍按时配送医用耗材和提供伴随服务的情况时，应及时告知甲方，并以书面形式将拖延的事实、可能拖延的时间和原因通知甲方。甲方在收到乙方通知后，应尽快对情况进行核实，并由甲方确定是否酌情延长交货时间以及是否收取违约金或终止合同。延期应通过变更合同的方式由双方认可并重新签署确定。如乙方无正当理由拖延交货，甲方可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由于医用耗材生产企业关、停、并、转的原因造成合同不能履行的，乙方应及时向甲方通报并提供省级以上药监部门证明，双方可以解除就该医用耗材订立的合同，合同如需变更，须经双方协商解决。</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第十二条</w:t>
      </w:r>
      <w:r>
        <w:rPr>
          <w:rFonts w:ascii="黑体" w:hAnsi="宋体" w:eastAsia="黑体"/>
          <w:sz w:val="28"/>
          <w:szCs w:val="28"/>
          <w:lang w:eastAsia="zh-CN"/>
        </w:rPr>
        <w:t xml:space="preserve">  </w:t>
      </w:r>
      <w:r>
        <w:rPr>
          <w:rFonts w:hint="eastAsia" w:ascii="黑体" w:hAnsi="宋体" w:eastAsia="黑体"/>
          <w:sz w:val="28"/>
          <w:szCs w:val="28"/>
          <w:lang w:eastAsia="zh-CN"/>
        </w:rPr>
        <w:t>争议解决</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因合同引起的或与本合同有关的任何争议，由双方当事人协商解决；也可以向有关部门申请调解。协商或调解不成，</w:t>
      </w:r>
      <w:r>
        <w:rPr>
          <w:rFonts w:hint="eastAsia" w:ascii="仿宋_GB2312" w:hAnsi="宋体" w:eastAsia="仿宋_GB2312"/>
          <w:sz w:val="28"/>
          <w:szCs w:val="28"/>
        </w:rPr>
        <w:t>向甲方所在地有管辖权的人民法院起诉。</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第十三条</w:t>
      </w:r>
      <w:r>
        <w:rPr>
          <w:rFonts w:ascii="黑体" w:hAnsi="宋体" w:eastAsia="黑体"/>
          <w:sz w:val="28"/>
          <w:szCs w:val="28"/>
          <w:lang w:eastAsia="zh-CN"/>
        </w:rPr>
        <w:t xml:space="preserve">  </w:t>
      </w:r>
      <w:r>
        <w:rPr>
          <w:rFonts w:hint="eastAsia" w:ascii="黑体" w:hAnsi="宋体" w:eastAsia="黑体"/>
          <w:sz w:val="28"/>
          <w:szCs w:val="28"/>
          <w:lang w:eastAsia="zh-CN"/>
        </w:rPr>
        <w:t>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一、采购期满合同终止。</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二、乙方违约采取的补救措施达不到合同规定的要求，甲方向乙方发出书面通知书，提出部分或全部终止合同。</w:t>
      </w:r>
    </w:p>
    <w:p>
      <w:pPr>
        <w:spacing w:line="464" w:lineRule="exact"/>
        <w:ind w:firstLine="560" w:firstLineChars="200"/>
        <w:rPr>
          <w:rFonts w:ascii="仿宋_GB2312" w:hAnsi="宋体" w:eastAsia="仿宋_GB2312"/>
          <w:b/>
          <w:sz w:val="28"/>
          <w:szCs w:val="28"/>
          <w:lang w:eastAsia="zh-CN"/>
        </w:rPr>
      </w:pPr>
      <w:r>
        <w:rPr>
          <w:rFonts w:hint="eastAsia" w:ascii="仿宋_GB2312" w:hAnsi="宋体" w:eastAsia="仿宋_GB2312"/>
          <w:sz w:val="28"/>
          <w:szCs w:val="28"/>
          <w:lang w:eastAsia="zh-CN"/>
        </w:rPr>
        <w:t>（一）如果乙方未能在合同规定的限期或甲方同意延长的限期内提供部分或全部医用耗材。</w:t>
      </w:r>
    </w:p>
    <w:p>
      <w:pPr>
        <w:snapToGrid w:val="0"/>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（二）如果乙方未能履行合同规定的其它任何义务。</w:t>
      </w:r>
    </w:p>
    <w:p>
      <w:pPr>
        <w:snapToGrid w:val="0"/>
        <w:spacing w:line="464" w:lineRule="exact"/>
        <w:ind w:firstLine="540"/>
        <w:rPr>
          <w:rFonts w:ascii="仿宋_GB2312" w:hAnsi="宋体" w:eastAsia="仿宋_GB2312"/>
          <w:sz w:val="28"/>
          <w:szCs w:val="28"/>
          <w:lang w:eastAsia="zh-CN"/>
        </w:rPr>
      </w:pPr>
      <w:r>
        <w:rPr>
          <w:rFonts w:hint="eastAsia" w:ascii="仿宋_GB2312" w:hAnsi="宋体" w:eastAsia="仿宋_GB2312"/>
          <w:sz w:val="28"/>
          <w:szCs w:val="28"/>
          <w:lang w:eastAsia="zh-CN"/>
        </w:rPr>
        <w:t>三、乙方破产或无清偿能力，乙方应及时以书面形式通知甲方，甲方可在任何时候以书面形式通知乙方，提出终止合同而不给乙方补偿。该终止合同将不损害或影响甲方已经采取或将要采取的任何行动或补救措施的权利。</w:t>
      </w:r>
    </w:p>
    <w:p>
      <w:pPr>
        <w:snapToGrid w:val="0"/>
        <w:spacing w:line="464" w:lineRule="exact"/>
        <w:ind w:firstLine="540"/>
        <w:rPr>
          <w:rFonts w:ascii="黑体" w:hAnsi="宋体" w:eastAsia="黑体"/>
          <w:sz w:val="28"/>
          <w:szCs w:val="28"/>
          <w:lang w:eastAsia="zh-CN"/>
        </w:rPr>
      </w:pPr>
      <w:r>
        <w:rPr>
          <w:rFonts w:hint="eastAsia" w:ascii="黑体" w:hAnsi="宋体" w:eastAsia="黑体"/>
          <w:sz w:val="28"/>
          <w:szCs w:val="28"/>
          <w:lang w:eastAsia="zh-CN"/>
        </w:rPr>
        <w:t>第十四条</w:t>
      </w:r>
      <w:r>
        <w:rPr>
          <w:rFonts w:ascii="黑体" w:hAnsi="宋体" w:eastAsia="黑体"/>
          <w:sz w:val="28"/>
          <w:szCs w:val="28"/>
          <w:lang w:eastAsia="zh-CN"/>
        </w:rPr>
        <w:t xml:space="preserve">  </w:t>
      </w:r>
      <w:r>
        <w:rPr>
          <w:rFonts w:hint="eastAsia" w:ascii="黑体" w:hAnsi="宋体" w:eastAsia="黑体"/>
          <w:sz w:val="28"/>
          <w:szCs w:val="28"/>
          <w:lang w:eastAsia="zh-CN"/>
        </w:rPr>
        <w:t>转让和分包</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除非甲方事先书面同意，否则乙方不得任何理由部分转让或全部转让其应履行的合同的权利和</w:t>
      </w:r>
      <w:r>
        <w:rPr>
          <w:rFonts w:ascii="仿宋_GB2312" w:hAnsi="宋体" w:eastAsia="仿宋_GB2312"/>
          <w:sz w:val="28"/>
          <w:szCs w:val="28"/>
          <w:lang w:eastAsia="zh-CN"/>
        </w:rPr>
        <w:t>/</w:t>
      </w:r>
      <w:r>
        <w:rPr>
          <w:rFonts w:hint="eastAsia" w:ascii="仿宋_GB2312" w:hAnsi="宋体" w:eastAsia="仿宋_GB2312"/>
          <w:sz w:val="28"/>
          <w:szCs w:val="28"/>
          <w:lang w:eastAsia="zh-CN"/>
        </w:rPr>
        <w:t>或义务。</w:t>
      </w:r>
      <w:r>
        <w:rPr>
          <w:rFonts w:hint="eastAsia" w:ascii="仿宋_GB2312" w:hAnsi="宋体" w:eastAsia="仿宋_GB2312"/>
          <w:sz w:val="28"/>
          <w:szCs w:val="28"/>
        </w:rPr>
        <w:t>乙方擅自转让和分包本合同项下的权利义务的，甲方有权解除本合同，乙方应当向甲方支付违约金【】万元。</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第十五条</w:t>
      </w:r>
      <w:r>
        <w:rPr>
          <w:rFonts w:ascii="黑体" w:hAnsi="宋体" w:eastAsia="黑体"/>
          <w:sz w:val="28"/>
          <w:szCs w:val="28"/>
          <w:lang w:eastAsia="zh-CN"/>
        </w:rPr>
        <w:t xml:space="preserve">  </w:t>
      </w:r>
      <w:r>
        <w:rPr>
          <w:rFonts w:hint="eastAsia" w:ascii="黑体" w:hAnsi="宋体" w:eastAsia="黑体"/>
          <w:sz w:val="28"/>
          <w:szCs w:val="28"/>
          <w:lang w:eastAsia="zh-CN"/>
        </w:rPr>
        <w:t>适用范围</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本合同条款适用于参加西藏自治区医用耗材集中采购的甲乙双方当事人。</w:t>
      </w:r>
    </w:p>
    <w:p>
      <w:pPr>
        <w:spacing w:line="464" w:lineRule="exact"/>
        <w:ind w:firstLine="560" w:firstLineChars="200"/>
        <w:rPr>
          <w:rFonts w:ascii="黑体" w:hAnsi="宋体" w:eastAsia="黑体"/>
          <w:sz w:val="28"/>
          <w:szCs w:val="28"/>
          <w:lang w:eastAsia="zh-CN"/>
        </w:rPr>
      </w:pPr>
      <w:r>
        <w:rPr>
          <w:rFonts w:hint="eastAsia" w:ascii="黑体" w:hAnsi="宋体" w:eastAsia="黑体"/>
          <w:sz w:val="28"/>
          <w:szCs w:val="28"/>
          <w:lang w:eastAsia="zh-CN"/>
        </w:rPr>
        <w:t>第十六条</w:t>
      </w:r>
      <w:r>
        <w:rPr>
          <w:rFonts w:ascii="黑体" w:hAnsi="宋体" w:eastAsia="黑体"/>
          <w:sz w:val="28"/>
          <w:szCs w:val="28"/>
          <w:lang w:eastAsia="zh-CN"/>
        </w:rPr>
        <w:t xml:space="preserve">  </w:t>
      </w:r>
      <w:r>
        <w:rPr>
          <w:rFonts w:hint="eastAsia" w:ascii="黑体" w:hAnsi="宋体" w:eastAsia="黑体"/>
          <w:sz w:val="28"/>
          <w:szCs w:val="28"/>
          <w:lang w:eastAsia="zh-CN"/>
        </w:rPr>
        <w:t>合同生效</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一、本合同自双方签订之日起生效，自本合同生效之日起在合同期内发生的有关网上交易的各项事宜，均受本合同的约束。</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二、本合同有效期从</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日起，至</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年</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月</w:t>
      </w:r>
      <w:r>
        <w:rPr>
          <w:rFonts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日止。</w:t>
      </w:r>
    </w:p>
    <w:p>
      <w:pPr>
        <w:spacing w:line="464"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三、本合同一式三份，甲、乙双方各存档一份、一份由甲方报西藏自治区医用耗材采购服务管理中心备案。</w:t>
      </w:r>
    </w:p>
    <w:p>
      <w:pPr>
        <w:spacing w:line="464" w:lineRule="exact"/>
        <w:ind w:firstLine="548" w:firstLineChars="196"/>
        <w:rPr>
          <w:rFonts w:ascii="黑体" w:hAnsi="宋体" w:eastAsia="黑体"/>
          <w:sz w:val="28"/>
          <w:szCs w:val="28"/>
          <w:lang w:eastAsia="zh-CN"/>
        </w:rPr>
      </w:pPr>
      <w:r>
        <w:rPr>
          <w:rFonts w:hint="eastAsia" w:ascii="黑体" w:hAnsi="宋体" w:eastAsia="黑体"/>
          <w:sz w:val="28"/>
          <w:szCs w:val="28"/>
          <w:lang w:eastAsia="zh-CN"/>
        </w:rPr>
        <w:t>第十七条</w:t>
      </w:r>
      <w:r>
        <w:rPr>
          <w:rFonts w:ascii="黑体" w:hAnsi="宋体" w:eastAsia="黑体"/>
          <w:sz w:val="28"/>
          <w:szCs w:val="28"/>
          <w:lang w:eastAsia="zh-CN"/>
        </w:rPr>
        <w:t xml:space="preserve">  </w:t>
      </w:r>
      <w:r>
        <w:rPr>
          <w:rFonts w:hint="eastAsia" w:ascii="黑体" w:hAnsi="宋体" w:eastAsia="黑体"/>
          <w:sz w:val="28"/>
          <w:szCs w:val="28"/>
          <w:lang w:eastAsia="zh-CN"/>
        </w:rPr>
        <w:t>附则</w:t>
      </w:r>
    </w:p>
    <w:p>
      <w:pPr>
        <w:spacing w:line="464" w:lineRule="exact"/>
        <w:ind w:firstLine="548" w:firstLineChars="196"/>
        <w:rPr>
          <w:rFonts w:hint="eastAsia" w:ascii="仿宋_GB2312" w:hAnsi="宋体" w:eastAsia="仿宋_GB2312"/>
          <w:sz w:val="28"/>
          <w:szCs w:val="28"/>
          <w:lang w:eastAsia="zh-CN"/>
        </w:rPr>
      </w:pPr>
      <w:r>
        <w:rPr>
          <w:rFonts w:hint="eastAsia" w:ascii="仿宋_GB2312" w:hAnsi="宋体" w:eastAsia="仿宋_GB2312"/>
          <w:sz w:val="28"/>
          <w:szCs w:val="28"/>
          <w:lang w:eastAsia="zh-CN"/>
        </w:rPr>
        <w:t>一、由配送企业作为乙方与甲方签订本合同的，必须将中标生产企业正式合法有效的委托书作为本合同的必须附件。</w:t>
      </w:r>
    </w:p>
    <w:p>
      <w:pPr>
        <w:spacing w:line="464" w:lineRule="exact"/>
        <w:ind w:firstLine="548" w:firstLineChars="196"/>
        <w:rPr>
          <w:rFonts w:ascii="仿宋_GB2312" w:hAnsi="宋体" w:eastAsia="仿宋_GB2312"/>
          <w:sz w:val="28"/>
          <w:szCs w:val="28"/>
          <w:lang w:eastAsia="zh-CN"/>
        </w:rPr>
      </w:pPr>
      <w:r>
        <w:rPr>
          <w:rFonts w:hint="eastAsia" w:ascii="仿宋_GB2312" w:hAnsi="宋体" w:eastAsia="仿宋_GB2312"/>
          <w:sz w:val="28"/>
          <w:szCs w:val="28"/>
          <w:lang w:eastAsia="zh-CN"/>
        </w:rPr>
        <w:t>二、本合同未尽事项，应按《西藏自治区医用耗材集中采购配送监督管理办法（试行）》（藏卫发〔</w:t>
      </w:r>
      <w:r>
        <w:rPr>
          <w:rFonts w:ascii="仿宋_GB2312" w:hAnsi="宋体" w:eastAsia="仿宋_GB2312"/>
          <w:sz w:val="28"/>
          <w:szCs w:val="28"/>
          <w:lang w:eastAsia="zh-CN"/>
        </w:rPr>
        <w:t>201</w:t>
      </w:r>
      <w:r>
        <w:rPr>
          <w:rFonts w:hint="eastAsia" w:ascii="仿宋_GB2312" w:hAnsi="宋体" w:eastAsia="仿宋_GB2312"/>
          <w:sz w:val="28"/>
          <w:szCs w:val="28"/>
          <w:lang w:eastAsia="zh-CN"/>
        </w:rPr>
        <w:t>7〕321号）、《国务院办公厅关于完善公立医院医用耗材集中采购采购工作的指导意见》（国办发〔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w:t>
      </w:r>
      <w:r>
        <w:rPr>
          <w:rFonts w:hint="eastAsia" w:ascii="仿宋_GB2312" w:hAnsi="宋体" w:eastAsia="仿宋_GB2312"/>
          <w:sz w:val="28"/>
          <w:szCs w:val="28"/>
          <w:lang w:eastAsia="zh-CN"/>
        </w:rPr>
        <w:t>号）、《国家卫生计生委关于落实完善公立医院医用耗材集中采购工作指导意见的通知》（国卫药政发〔</w:t>
      </w:r>
      <w:r>
        <w:rPr>
          <w:rFonts w:ascii="仿宋_GB2312" w:hAnsi="宋体" w:eastAsia="仿宋_GB2312"/>
          <w:sz w:val="28"/>
          <w:szCs w:val="28"/>
          <w:lang w:eastAsia="zh-CN"/>
        </w:rPr>
        <w:t>2015</w:t>
      </w:r>
      <w:r>
        <w:rPr>
          <w:rFonts w:hint="eastAsia" w:ascii="仿宋_GB2312" w:hAnsi="宋体" w:eastAsia="仿宋_GB2312"/>
          <w:sz w:val="28"/>
          <w:szCs w:val="28"/>
          <w:lang w:eastAsia="zh-CN"/>
        </w:rPr>
        <w:t>〕</w:t>
      </w:r>
      <w:r>
        <w:rPr>
          <w:rFonts w:ascii="仿宋_GB2312" w:hAnsi="宋体" w:eastAsia="仿宋_GB2312"/>
          <w:sz w:val="28"/>
          <w:szCs w:val="28"/>
          <w:lang w:eastAsia="zh-CN"/>
        </w:rPr>
        <w:t>70</w:t>
      </w:r>
      <w:r>
        <w:rPr>
          <w:rFonts w:hint="eastAsia" w:ascii="仿宋_GB2312" w:hAnsi="宋体" w:eastAsia="仿宋_GB2312"/>
          <w:sz w:val="28"/>
          <w:szCs w:val="28"/>
          <w:lang w:eastAsia="zh-CN"/>
        </w:rPr>
        <w:t>号），以及有关医用耗材管理规定执行。仍然无法确定的，经双方共同协商，可根据以上文件及相关法律法规的规定签订补充协议，补充协议与正式合同具有同等法律效力。</w:t>
      </w:r>
    </w:p>
    <w:p>
      <w:pPr>
        <w:spacing w:line="464" w:lineRule="exact"/>
        <w:ind w:firstLine="560" w:firstLineChars="200"/>
        <w:rPr>
          <w:rFonts w:ascii="仿宋_GB2312" w:hAnsi="宋体" w:eastAsia="仿宋_GB2312"/>
          <w:sz w:val="28"/>
          <w:szCs w:val="28"/>
          <w:lang w:eastAsia="zh-CN"/>
        </w:rPr>
      </w:pPr>
    </w:p>
    <w:p>
      <w:pPr>
        <w:spacing w:line="464" w:lineRule="exact"/>
        <w:ind w:left="6160" w:hanging="6160" w:hangingChars="2200"/>
        <w:rPr>
          <w:rFonts w:ascii="仿宋_GB2312" w:eastAsia="仿宋_GB2312"/>
          <w:sz w:val="28"/>
          <w:szCs w:val="28"/>
          <w:lang w:eastAsia="zh-CN"/>
        </w:rPr>
      </w:pPr>
      <w:r>
        <w:rPr>
          <w:rFonts w:hint="eastAsia" w:ascii="仿宋_GB2312" w:eastAsia="仿宋_GB2312"/>
          <w:sz w:val="28"/>
          <w:szCs w:val="28"/>
          <w:lang w:eastAsia="zh-CN"/>
        </w:rPr>
        <w:t>甲方（盖章）：</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乙方（盖章）：</w:t>
      </w: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法定代表人（签字）：</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u w:val="single"/>
          <w:lang w:eastAsia="zh-CN"/>
        </w:rPr>
      </w:pP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被授权人（签字）</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ascii="仿宋_GB2312" w:eastAsia="仿宋_GB2312"/>
          <w:sz w:val="28"/>
          <w:szCs w:val="28"/>
          <w:lang w:eastAsia="zh-CN"/>
        </w:rPr>
        <w:t xml:space="preserve">   </w:t>
      </w:r>
      <w:r>
        <w:rPr>
          <w:rFonts w:hint="eastAsia" w:ascii="仿宋_GB2312" w:eastAsia="仿宋_GB2312"/>
          <w:sz w:val="28"/>
          <w:szCs w:val="28"/>
          <w:lang w:eastAsia="zh-CN"/>
        </w:rPr>
        <w:t>联系电话：</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p>
    <w:p>
      <w:pPr>
        <w:spacing w:line="464" w:lineRule="exact"/>
        <w:ind w:firstLine="560" w:firstLineChars="200"/>
        <w:rPr>
          <w:rFonts w:hint="eastAsia" w:ascii="仿宋_GB2312" w:eastAsia="仿宋_GB2312"/>
          <w:sz w:val="28"/>
          <w:szCs w:val="28"/>
          <w:lang w:eastAsia="zh-CN"/>
        </w:rPr>
      </w:pPr>
    </w:p>
    <w:p>
      <w:pPr>
        <w:spacing w:line="464" w:lineRule="exact"/>
        <w:ind w:firstLine="560" w:firstLineChars="200"/>
        <w:rPr>
          <w:rFonts w:ascii="仿宋_GB2312" w:eastAsia="仿宋_GB2312"/>
          <w:sz w:val="28"/>
          <w:szCs w:val="28"/>
          <w:lang w:eastAsia="zh-CN"/>
        </w:rPr>
      </w:pP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r>
        <w:rPr>
          <w:rFonts w:ascii="仿宋_GB2312" w:eastAsia="仿宋_GB2312"/>
          <w:sz w:val="28"/>
          <w:szCs w:val="28"/>
          <w:lang w:eastAsia="zh-CN"/>
        </w:rPr>
        <w:t xml:space="preserve">   </w:t>
      </w:r>
      <w:r>
        <w:rPr>
          <w:rFonts w:hint="eastAsia" w:ascii="仿宋_GB2312" w:eastAsia="仿宋_GB2312"/>
          <w:sz w:val="28"/>
          <w:szCs w:val="28"/>
          <w:lang w:eastAsia="zh-CN"/>
        </w:rPr>
        <w:t>签约日期：</w:t>
      </w:r>
      <w:r>
        <w:rPr>
          <w:rFonts w:ascii="仿宋_GB2312" w:eastAsia="仿宋_GB2312"/>
          <w:sz w:val="28"/>
          <w:szCs w:val="28"/>
          <w:u w:val="single"/>
          <w:lang w:eastAsia="zh-CN"/>
        </w:rPr>
        <w:t xml:space="preserve">  </w:t>
      </w:r>
      <w:r>
        <w:rPr>
          <w:rFonts w:hint="eastAsia" w:ascii="仿宋_GB2312" w:eastAsia="仿宋_GB2312"/>
          <w:sz w:val="28"/>
          <w:szCs w:val="28"/>
          <w:u w:val="single"/>
          <w:lang w:eastAsia="zh-CN"/>
        </w:rPr>
        <w:t xml:space="preserve"> </w:t>
      </w:r>
      <w:r>
        <w:rPr>
          <w:rFonts w:ascii="仿宋_GB2312" w:eastAsia="仿宋_GB2312"/>
          <w:sz w:val="28"/>
          <w:szCs w:val="28"/>
          <w:u w:val="single"/>
          <w:lang w:eastAsia="zh-CN"/>
        </w:rPr>
        <w:t xml:space="preserve">  </w:t>
      </w:r>
      <w:r>
        <w:rPr>
          <w:rFonts w:hint="eastAsia" w:ascii="仿宋_GB2312" w:eastAsia="仿宋_GB2312"/>
          <w:sz w:val="28"/>
          <w:szCs w:val="28"/>
          <w:lang w:eastAsia="zh-CN"/>
        </w:rPr>
        <w:t>年</w:t>
      </w:r>
      <w:r>
        <w:rPr>
          <w:rFonts w:ascii="仿宋_GB2312" w:eastAsia="仿宋_GB2312"/>
          <w:sz w:val="28"/>
          <w:szCs w:val="28"/>
          <w:u w:val="single"/>
          <w:lang w:eastAsia="zh-CN"/>
        </w:rPr>
        <w:t xml:space="preserve">   </w:t>
      </w:r>
      <w:r>
        <w:rPr>
          <w:rFonts w:hint="eastAsia" w:ascii="仿宋_GB2312" w:eastAsia="仿宋_GB2312"/>
          <w:sz w:val="28"/>
          <w:szCs w:val="28"/>
          <w:lang w:eastAsia="zh-CN"/>
        </w:rPr>
        <w:t>月</w:t>
      </w:r>
      <w:r>
        <w:rPr>
          <w:rFonts w:ascii="仿宋_GB2312" w:eastAsia="仿宋_GB2312"/>
          <w:sz w:val="28"/>
          <w:szCs w:val="28"/>
          <w:u w:val="single"/>
          <w:lang w:eastAsia="zh-CN"/>
        </w:rPr>
        <w:t xml:space="preserve">   </w:t>
      </w:r>
      <w:r>
        <w:rPr>
          <w:rFonts w:hint="eastAsia" w:ascii="仿宋_GB2312" w:eastAsia="仿宋_GB2312"/>
          <w:sz w:val="28"/>
          <w:szCs w:val="28"/>
          <w:lang w:eastAsia="zh-CN"/>
        </w:rPr>
        <w:t>日</w:t>
      </w:r>
    </w:p>
    <w:p>
      <w:pPr>
        <w:spacing w:line="500" w:lineRule="exact"/>
        <w:rPr>
          <w:rFonts w:ascii="仿宋_GB2312" w:hAnsi="黑体" w:eastAsia="仿宋_GB2312"/>
          <w:sz w:val="32"/>
          <w:szCs w:val="28"/>
          <w:lang w:eastAsia="zh-CN"/>
        </w:rPr>
        <w:sectPr>
          <w:headerReference r:id="rId9" w:type="default"/>
          <w:footerReference r:id="rId10" w:type="default"/>
          <w:footerReference r:id="rId11" w:type="even"/>
          <w:pgSz w:w="11907" w:h="16840"/>
          <w:pgMar w:top="1440" w:right="1531" w:bottom="1440" w:left="1531" w:header="851" w:footer="680" w:gutter="0"/>
          <w:pgNumType w:fmt="numberInDash" w:start="1"/>
          <w:cols w:space="720" w:num="1"/>
          <w:docGrid w:type="linesAndChars" w:linePitch="312" w:charSpace="0"/>
        </w:sectPr>
      </w:pPr>
    </w:p>
    <w:tbl>
      <w:tblPr>
        <w:tblStyle w:val="30"/>
        <w:tblpPr w:leftFromText="180" w:rightFromText="180" w:vertAnchor="text" w:horzAnchor="page" w:tblpX="541" w:tblpY="398"/>
        <w:tblOverlap w:val="never"/>
        <w:tblW w:w="10979" w:type="dxa"/>
        <w:tblInd w:w="0" w:type="dxa"/>
        <w:tblLayout w:type="fixed"/>
        <w:tblCellMar>
          <w:top w:w="0" w:type="dxa"/>
          <w:left w:w="108" w:type="dxa"/>
          <w:bottom w:w="0" w:type="dxa"/>
          <w:right w:w="108" w:type="dxa"/>
        </w:tblCellMar>
      </w:tblPr>
      <w:tblGrid>
        <w:gridCol w:w="1119"/>
        <w:gridCol w:w="716"/>
        <w:gridCol w:w="1056"/>
        <w:gridCol w:w="939"/>
        <w:gridCol w:w="821"/>
        <w:gridCol w:w="587"/>
        <w:gridCol w:w="821"/>
        <w:gridCol w:w="1174"/>
        <w:gridCol w:w="1408"/>
        <w:gridCol w:w="1408"/>
        <w:gridCol w:w="930"/>
      </w:tblGrid>
      <w:tr>
        <w:tblPrEx>
          <w:tblCellMar>
            <w:top w:w="0" w:type="dxa"/>
            <w:left w:w="108" w:type="dxa"/>
            <w:bottom w:w="0" w:type="dxa"/>
            <w:right w:w="108" w:type="dxa"/>
          </w:tblCellMar>
        </w:tblPrEx>
        <w:trPr>
          <w:trHeight w:val="547" w:hRule="atLeast"/>
        </w:trPr>
        <w:tc>
          <w:tcPr>
            <w:tcW w:w="10979" w:type="dxa"/>
            <w:gridSpan w:val="11"/>
            <w:tcBorders>
              <w:top w:val="nil"/>
              <w:left w:val="nil"/>
              <w:bottom w:val="nil"/>
              <w:right w:val="nil"/>
            </w:tcBorders>
            <w:noWrap w:val="0"/>
            <w:vAlign w:val="bottom"/>
          </w:tcPr>
          <w:p>
            <w:pPr>
              <w:jc w:val="center"/>
              <w:rPr>
                <w:rFonts w:ascii="小标宋" w:eastAsia="小标宋" w:cs="宋体"/>
                <w:bCs/>
                <w:sz w:val="30"/>
                <w:szCs w:val="30"/>
                <w:lang w:eastAsia="zh-CN"/>
              </w:rPr>
            </w:pPr>
            <w:r>
              <w:rPr>
                <w:rFonts w:hint="eastAsia" w:ascii="小标宋" w:hAnsi="宋体" w:eastAsia="小标宋" w:cs="宋体"/>
                <w:bCs/>
                <w:sz w:val="30"/>
                <w:szCs w:val="30"/>
                <w:lang w:val="en-US" w:eastAsia="zh-CN"/>
              </w:rPr>
              <w:t>西藏康城肿瘤医院</w:t>
            </w:r>
            <w:r>
              <w:rPr>
                <w:rFonts w:hint="eastAsia" w:ascii="小标宋" w:hAnsi="宋体" w:eastAsia="小标宋" w:cs="宋体"/>
                <w:bCs/>
                <w:sz w:val="30"/>
                <w:szCs w:val="30"/>
                <w:lang w:eastAsia="zh-CN"/>
              </w:rPr>
              <w:t>医用耗材采购合同医用耗材明细表</w:t>
            </w:r>
          </w:p>
        </w:tc>
      </w:tr>
      <w:tr>
        <w:tblPrEx>
          <w:tblCellMar>
            <w:top w:w="0" w:type="dxa"/>
            <w:left w:w="108" w:type="dxa"/>
            <w:bottom w:w="0" w:type="dxa"/>
            <w:right w:w="108" w:type="dxa"/>
          </w:tblCellMar>
        </w:tblPrEx>
        <w:trPr>
          <w:trHeight w:val="495" w:hRule="atLeast"/>
        </w:trPr>
        <w:tc>
          <w:tcPr>
            <w:tcW w:w="10979" w:type="dxa"/>
            <w:gridSpan w:val="11"/>
            <w:tcBorders>
              <w:top w:val="nil"/>
              <w:left w:val="nil"/>
              <w:bottom w:val="nil"/>
              <w:right w:val="nil"/>
            </w:tcBorders>
            <w:noWrap w:val="0"/>
            <w:vAlign w:val="center"/>
          </w:tcPr>
          <w:p>
            <w:pPr>
              <w:rPr>
                <w:rFonts w:ascii="仿宋_GB2312" w:eastAsia="仿宋_GB2312" w:cs="宋体"/>
                <w:b/>
                <w:bCs/>
                <w:lang w:eastAsia="zh-CN"/>
              </w:rPr>
            </w:pPr>
            <w:r>
              <w:rPr>
                <w:rFonts w:hint="eastAsia" w:ascii="仿宋_GB2312" w:hAnsi="宋体" w:eastAsia="仿宋_GB2312" w:cs="宋体"/>
                <w:b/>
                <w:bCs/>
                <w:lang w:eastAsia="zh-CN"/>
              </w:rPr>
              <w:t>甲方（盖章）：</w:t>
            </w:r>
            <w:r>
              <w:rPr>
                <w:rFonts w:ascii="仿宋_GB2312" w:hAnsi="宋体" w:eastAsia="仿宋_GB2312" w:cs="宋体"/>
                <w:b/>
                <w:bCs/>
                <w:lang w:eastAsia="zh-CN"/>
              </w:rPr>
              <w:t xml:space="preserve">                                              </w:t>
            </w:r>
            <w:r>
              <w:rPr>
                <w:rFonts w:hint="eastAsia" w:ascii="仿宋_GB2312" w:hAnsi="宋体" w:eastAsia="仿宋_GB2312" w:cs="宋体"/>
                <w:b/>
                <w:bCs/>
                <w:lang w:eastAsia="zh-CN"/>
              </w:rPr>
              <w:t>乙方（盖章）：</w:t>
            </w:r>
            <w:r>
              <w:rPr>
                <w:rFonts w:ascii="仿宋_GB2312" w:hAnsi="宋体" w:eastAsia="仿宋_GB2312" w:cs="宋体"/>
                <w:b/>
                <w:bCs/>
                <w:lang w:eastAsia="zh-CN"/>
              </w:rPr>
              <w:t xml:space="preserve">                             </w:t>
            </w:r>
          </w:p>
        </w:tc>
      </w:tr>
      <w:tr>
        <w:tblPrEx>
          <w:tblCellMar>
            <w:top w:w="0" w:type="dxa"/>
            <w:left w:w="108" w:type="dxa"/>
            <w:bottom w:w="0" w:type="dxa"/>
            <w:right w:w="108" w:type="dxa"/>
          </w:tblCellMar>
        </w:tblPrEx>
        <w:trPr>
          <w:trHeight w:val="590" w:hRule="atLeast"/>
        </w:trPr>
        <w:tc>
          <w:tcPr>
            <w:tcW w:w="111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采购目录序号</w:t>
            </w:r>
          </w:p>
        </w:tc>
        <w:tc>
          <w:tcPr>
            <w:tcW w:w="71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lang w:eastAsia="zh-CN"/>
              </w:rPr>
              <w:t>医用耗材</w:t>
            </w:r>
            <w:r>
              <w:rPr>
                <w:rFonts w:hint="eastAsia" w:ascii="仿宋_GB2312" w:hAnsi="宋体" w:eastAsia="仿宋_GB2312" w:cs="宋体"/>
                <w:bCs/>
              </w:rPr>
              <w:t>通用名</w:t>
            </w:r>
          </w:p>
        </w:tc>
        <w:tc>
          <w:tcPr>
            <w:tcW w:w="1056"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剂型</w:t>
            </w:r>
          </w:p>
        </w:tc>
        <w:tc>
          <w:tcPr>
            <w:tcW w:w="939"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规格</w:t>
            </w:r>
          </w:p>
        </w:tc>
        <w:tc>
          <w:tcPr>
            <w:tcW w:w="82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最小制剂单位</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转换系数</w:t>
            </w:r>
          </w:p>
        </w:tc>
        <w:tc>
          <w:tcPr>
            <w:tcW w:w="821"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最小包装单位</w:t>
            </w:r>
          </w:p>
        </w:tc>
        <w:tc>
          <w:tcPr>
            <w:tcW w:w="1174"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eastAsia="仿宋_GB2312" w:cs="宋体"/>
                <w:bCs/>
              </w:rPr>
              <w:t>包装材质</w:t>
            </w:r>
          </w:p>
        </w:tc>
        <w:tc>
          <w:tcPr>
            <w:tcW w:w="140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rPr>
            </w:pPr>
            <w:r>
              <w:rPr>
                <w:rFonts w:hint="eastAsia" w:ascii="仿宋_GB2312" w:hAnsi="宋体" w:eastAsia="仿宋_GB2312" w:cs="宋体"/>
                <w:bCs/>
              </w:rPr>
              <w:t>生产企业</w:t>
            </w:r>
          </w:p>
        </w:tc>
        <w:tc>
          <w:tcPr>
            <w:tcW w:w="1408" w:type="dxa"/>
            <w:tcBorders>
              <w:top w:val="single" w:color="auto" w:sz="4" w:space="0"/>
              <w:left w:val="nil"/>
              <w:bottom w:val="single" w:color="auto" w:sz="4" w:space="0"/>
              <w:right w:val="single" w:color="auto" w:sz="4" w:space="0"/>
            </w:tcBorders>
            <w:noWrap w:val="0"/>
            <w:vAlign w:val="center"/>
          </w:tcPr>
          <w:p>
            <w:pPr>
              <w:jc w:val="center"/>
              <w:rPr>
                <w:rFonts w:ascii="仿宋_GB2312" w:eastAsia="仿宋_GB2312" w:cs="宋体"/>
                <w:bCs/>
                <w:lang w:eastAsia="zh-CN"/>
              </w:rPr>
            </w:pPr>
            <w:r>
              <w:rPr>
                <w:rFonts w:hint="eastAsia" w:ascii="仿宋_GB2312" w:hAnsi="宋体" w:eastAsia="仿宋_GB2312" w:cs="宋体"/>
                <w:bCs/>
                <w:lang w:eastAsia="zh-CN"/>
              </w:rPr>
              <w:t>最小包装单位交易价格（元）</w:t>
            </w:r>
          </w:p>
        </w:tc>
        <w:tc>
          <w:tcPr>
            <w:tcW w:w="930" w:type="dxa"/>
            <w:tcBorders>
              <w:top w:val="single" w:color="auto" w:sz="4" w:space="0"/>
              <w:left w:val="nil"/>
              <w:bottom w:val="single" w:color="auto" w:sz="4" w:space="0"/>
              <w:right w:val="single" w:color="auto" w:sz="4" w:space="0"/>
            </w:tcBorders>
            <w:noWrap w:val="0"/>
            <w:vAlign w:val="center"/>
          </w:tcPr>
          <w:p>
            <w:pPr>
              <w:jc w:val="center"/>
              <w:rPr>
                <w:rFonts w:hint="default" w:ascii="仿宋_GB2312" w:eastAsia="仿宋_GB2312" w:cs="宋体"/>
                <w:bCs/>
                <w:lang w:val="en-US" w:eastAsia="zh-CN"/>
              </w:rPr>
            </w:pPr>
            <w:r>
              <w:rPr>
                <w:rFonts w:hint="eastAsia" w:ascii="仿宋_GB2312" w:hAnsi="宋体" w:eastAsia="仿宋_GB2312" w:cs="宋体"/>
                <w:bCs/>
                <w:lang w:val="en-US" w:eastAsia="zh-CN"/>
              </w:rPr>
              <w:t>医保编码</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42" w:hRule="atLeast"/>
        </w:trPr>
        <w:tc>
          <w:tcPr>
            <w:tcW w:w="1119" w:type="dxa"/>
            <w:tcBorders>
              <w:top w:val="nil"/>
              <w:left w:val="single" w:color="auto" w:sz="4" w:space="0"/>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single" w:color="auto" w:sz="4" w:space="0"/>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53" w:hRule="atLeast"/>
        </w:trPr>
        <w:tc>
          <w:tcPr>
            <w:tcW w:w="1119" w:type="dxa"/>
            <w:tcBorders>
              <w:top w:val="nil"/>
              <w:left w:val="single" w:color="auto" w:sz="4" w:space="0"/>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716"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056"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9"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587"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821"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1174" w:type="dxa"/>
            <w:tcBorders>
              <w:top w:val="nil"/>
              <w:left w:val="nil"/>
              <w:bottom w:val="nil"/>
              <w:right w:val="single" w:color="auto" w:sz="4" w:space="0"/>
            </w:tcBorders>
            <w:noWrap w:val="0"/>
            <w:vAlign w:val="bottom"/>
          </w:tcPr>
          <w:p>
            <w:pPr>
              <w:rPr>
                <w:rFonts w:ascii="仿宋_GB2312" w:eastAsia="仿宋_GB2312" w:cs="宋体"/>
              </w:rPr>
            </w:pPr>
          </w:p>
        </w:tc>
        <w:tc>
          <w:tcPr>
            <w:tcW w:w="1408" w:type="dxa"/>
            <w:tcBorders>
              <w:top w:val="nil"/>
              <w:left w:val="nil"/>
              <w:bottom w:val="nil"/>
              <w:right w:val="single" w:color="auto" w:sz="4" w:space="0"/>
            </w:tcBorders>
            <w:noWrap w:val="0"/>
            <w:vAlign w:val="bottom"/>
          </w:tcPr>
          <w:p>
            <w:pPr>
              <w:rPr>
                <w:rFonts w:ascii="仿宋_GB2312" w:eastAsia="仿宋_GB2312" w:cs="宋体"/>
              </w:rPr>
            </w:pPr>
          </w:p>
        </w:tc>
        <w:tc>
          <w:tcPr>
            <w:tcW w:w="1408"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c>
          <w:tcPr>
            <w:tcW w:w="930" w:type="dxa"/>
            <w:tcBorders>
              <w:top w:val="nil"/>
              <w:left w:val="nil"/>
              <w:bottom w:val="nil"/>
              <w:right w:val="single" w:color="auto" w:sz="4" w:space="0"/>
            </w:tcBorders>
            <w:noWrap w:val="0"/>
            <w:vAlign w:val="bottom"/>
          </w:tcPr>
          <w:p>
            <w:pPr>
              <w:rPr>
                <w:rFonts w:ascii="仿宋_GB2312" w:eastAsia="仿宋_GB2312" w:cs="宋体"/>
              </w:rPr>
            </w:pPr>
            <w:r>
              <w:rPr>
                <w:rFonts w:hint="eastAsia" w:ascii="仿宋_GB2312" w:hAnsi="宋体" w:eastAsia="仿宋_GB2312" w:cs="宋体"/>
              </w:rPr>
              <w:t>　</w:t>
            </w:r>
          </w:p>
        </w:tc>
      </w:tr>
      <w:tr>
        <w:tblPrEx>
          <w:tblCellMar>
            <w:top w:w="0" w:type="dxa"/>
            <w:left w:w="108" w:type="dxa"/>
            <w:bottom w:w="0" w:type="dxa"/>
            <w:right w:w="108" w:type="dxa"/>
          </w:tblCellMar>
        </w:tblPrEx>
        <w:trPr>
          <w:trHeight w:val="553" w:hRule="atLeast"/>
        </w:trPr>
        <w:tc>
          <w:tcPr>
            <w:tcW w:w="1119" w:type="dxa"/>
            <w:tcBorders>
              <w:top w:val="nil"/>
              <w:left w:val="single" w:color="auto" w:sz="4" w:space="0"/>
              <w:bottom w:val="single" w:color="auto" w:sz="4" w:space="0"/>
              <w:right w:val="single" w:color="auto" w:sz="4" w:space="0"/>
            </w:tcBorders>
            <w:noWrap w:val="0"/>
            <w:vAlign w:val="bottom"/>
          </w:tcPr>
          <w:p>
            <w:pPr>
              <w:rPr>
                <w:rFonts w:hint="eastAsia" w:ascii="仿宋_GB2312" w:hAnsi="宋体" w:eastAsia="仿宋_GB2312" w:cs="宋体"/>
              </w:rPr>
            </w:pPr>
          </w:p>
        </w:tc>
        <w:tc>
          <w:tcPr>
            <w:tcW w:w="716"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1056"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939"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821"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587"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821"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1174"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ascii="仿宋_GB2312" w:eastAsia="仿宋_GB2312" w:cs="宋体"/>
              </w:rPr>
            </w:pPr>
          </w:p>
        </w:tc>
        <w:tc>
          <w:tcPr>
            <w:tcW w:w="1408"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c>
          <w:tcPr>
            <w:tcW w:w="930" w:type="dxa"/>
            <w:tcBorders>
              <w:top w:val="nil"/>
              <w:left w:val="nil"/>
              <w:bottom w:val="single" w:color="auto" w:sz="4" w:space="0"/>
              <w:right w:val="single" w:color="auto" w:sz="4" w:space="0"/>
            </w:tcBorders>
            <w:noWrap w:val="0"/>
            <w:vAlign w:val="bottom"/>
          </w:tcPr>
          <w:p>
            <w:pPr>
              <w:rPr>
                <w:rFonts w:hint="eastAsia" w:ascii="仿宋_GB2312" w:hAnsi="宋体" w:eastAsia="仿宋_GB2312" w:cs="宋体"/>
              </w:rPr>
            </w:pPr>
          </w:p>
        </w:tc>
      </w:tr>
    </w:tbl>
    <w:p>
      <w:pPr>
        <w:spacing w:line="500" w:lineRule="exact"/>
        <w:rPr>
          <w:rFonts w:ascii="仿宋_GB2312" w:hAnsi="宋体" w:eastAsia="仿宋_GB2312"/>
          <w:b/>
          <w:sz w:val="28"/>
          <w:szCs w:val="28"/>
          <w:lang w:eastAsia="zh-CN"/>
        </w:rPr>
      </w:pPr>
      <w:r>
        <w:rPr>
          <w:rFonts w:hint="eastAsia" w:ascii="黑体" w:hAnsi="黑体" w:eastAsia="黑体"/>
          <w:sz w:val="28"/>
          <w:szCs w:val="28"/>
          <w:lang w:eastAsia="zh-CN"/>
        </w:rPr>
        <w:t>附件</w:t>
      </w:r>
    </w:p>
    <w:p>
      <w:pPr>
        <w:spacing w:line="500" w:lineRule="exact"/>
        <w:rPr>
          <w:rFonts w:ascii="仿宋_GB2312" w:hAnsi="宋体" w:eastAsia="仿宋_GB2312"/>
          <w:b/>
          <w:sz w:val="28"/>
          <w:szCs w:val="28"/>
          <w:lang w:eastAsia="zh-CN"/>
        </w:rPr>
      </w:pPr>
    </w:p>
    <w:p/>
    <w:p>
      <w:pPr>
        <w:rPr>
          <w:rFonts w:hint="eastAsia" w:ascii="仿宋" w:hAnsi="仿宋" w:eastAsia="仿宋"/>
          <w:color w:val="000000"/>
          <w:kern w:val="2"/>
          <w:sz w:val="28"/>
          <w:szCs w:val="28"/>
          <w:lang w:eastAsia="zh-CN"/>
        </w:rPr>
      </w:pPr>
      <w:r>
        <w:rPr>
          <w:lang w:eastAsia="zh-CN"/>
        </w:rPr>
        <w:t xml:space="preserve">   </w:t>
      </w:r>
      <w:r>
        <w:rPr>
          <w:rFonts w:ascii="仿宋_GB2312" w:hAnsi="宋体" w:eastAsia="仿宋_GB2312" w:cs="宋体"/>
          <w:bCs/>
          <w:lang w:eastAsia="zh-CN"/>
        </w:rPr>
        <w:t xml:space="preserve"> </w:t>
      </w:r>
      <w:r>
        <w:rPr>
          <w:rFonts w:hint="eastAsia" w:ascii="仿宋_GB2312" w:hAnsi="宋体" w:eastAsia="仿宋_GB2312" w:cs="宋体"/>
          <w:bCs/>
          <w:lang w:eastAsia="zh-CN"/>
        </w:rPr>
        <w:t>注意：乙方的配送批量以采购平台交易系统中甲乙双方交易订单号所体现的信息为准。</w:t>
      </w:r>
    </w:p>
    <w:p>
      <w:pPr>
        <w:pStyle w:val="2"/>
        <w:rPr>
          <w:rFonts w:hint="eastAsia"/>
        </w:rPr>
      </w:pPr>
    </w:p>
    <w:p>
      <w:pPr>
        <w:pStyle w:val="2"/>
      </w:pPr>
    </w:p>
    <w:p>
      <w:pPr>
        <w:pStyle w:val="2"/>
      </w:pPr>
    </w:p>
    <w:p>
      <w:pPr>
        <w:pStyle w:val="2"/>
      </w:pPr>
    </w:p>
    <w:p>
      <w:pPr>
        <w:pStyle w:val="2"/>
      </w:pPr>
    </w:p>
    <w:p>
      <w:pPr>
        <w:pStyle w:val="2"/>
      </w:pPr>
    </w:p>
    <w:p>
      <w:pPr>
        <w:spacing w:line="360" w:lineRule="auto"/>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spacing w:line="360" w:lineRule="auto"/>
        <w:ind w:right="-126"/>
        <w:rPr>
          <w:rFonts w:ascii="仿宋" w:hAnsi="仿宋" w:eastAsia="仿宋" w:cs="仿宋"/>
          <w:color w:val="000000"/>
          <w:sz w:val="24"/>
        </w:rPr>
      </w:pPr>
    </w:p>
    <w:p>
      <w:pPr>
        <w:pStyle w:val="3"/>
        <w:ind w:firstLine="2209" w:firstLineChars="500"/>
        <w:jc w:val="both"/>
      </w:pPr>
      <w:bookmarkStart w:id="108" w:name="_Toc47364336"/>
      <w:bookmarkStart w:id="109" w:name="_Toc87205269"/>
      <w:r>
        <w:rPr>
          <w:rFonts w:hint="eastAsia"/>
        </w:rPr>
        <w:t>第五章 投标文件格式</w:t>
      </w:r>
      <w:bookmarkEnd w:id="108"/>
      <w:bookmarkEnd w:id="109"/>
    </w:p>
    <w:p>
      <w:pPr>
        <w:pStyle w:val="2"/>
      </w:pPr>
    </w:p>
    <w:p>
      <w:pPr>
        <w:pStyle w:val="2"/>
        <w:jc w:val="right"/>
      </w:pPr>
      <w:r>
        <w:rPr>
          <w:rFonts w:hint="eastAsia"/>
        </w:rPr>
        <w:t>正本/副本</w:t>
      </w:r>
    </w:p>
    <w:p>
      <w:pPr>
        <w:widowControl/>
        <w:ind w:left="57" w:leftChars="27" w:right="57"/>
        <w:jc w:val="center"/>
        <w:rPr>
          <w:rFonts w:ascii="仿宋" w:hAnsi="仿宋" w:eastAsia="仿宋" w:cs="仿宋"/>
          <w:b/>
          <w:bCs/>
          <w:sz w:val="52"/>
          <w:szCs w:val="52"/>
        </w:rPr>
      </w:pPr>
      <w:r>
        <w:rPr>
          <w:rFonts w:hint="eastAsia" w:ascii="仿宋" w:hAnsi="仿宋" w:eastAsia="仿宋" w:cs="仿宋"/>
          <w:b/>
          <w:bCs/>
          <w:sz w:val="52"/>
          <w:szCs w:val="52"/>
          <w:lang w:val="en-US" w:eastAsia="zh-CN"/>
        </w:rPr>
        <w:t>西藏康城肿瘤医院</w:t>
      </w:r>
      <w:r>
        <w:rPr>
          <w:rFonts w:hint="eastAsia" w:ascii="仿宋" w:hAnsi="仿宋" w:eastAsia="仿宋" w:cs="仿宋"/>
          <w:b/>
          <w:bCs/>
          <w:sz w:val="52"/>
          <w:szCs w:val="52"/>
          <w:lang w:eastAsia="zh-CN"/>
        </w:rPr>
        <w:t>医用耗材</w:t>
      </w:r>
      <w:r>
        <w:rPr>
          <w:rFonts w:hint="eastAsia" w:ascii="仿宋" w:hAnsi="仿宋" w:eastAsia="仿宋" w:cs="仿宋"/>
          <w:b/>
          <w:bCs/>
          <w:sz w:val="52"/>
          <w:szCs w:val="52"/>
        </w:rPr>
        <w:t>采购项目</w:t>
      </w:r>
    </w:p>
    <w:p>
      <w:pPr>
        <w:widowControl/>
        <w:ind w:left="57" w:leftChars="27" w:right="57"/>
        <w:jc w:val="center"/>
        <w:rPr>
          <w:rFonts w:ascii="仿宋" w:hAnsi="仿宋" w:eastAsia="仿宋" w:cs="仿宋"/>
          <w:b/>
          <w:bCs/>
          <w:sz w:val="44"/>
          <w:szCs w:val="44"/>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pStyle w:val="2"/>
        <w:rPr>
          <w:rFonts w:ascii="仿宋" w:hAnsi="仿宋" w:eastAsia="仿宋" w:cs="仿宋"/>
          <w:b/>
          <w:color w:val="auto"/>
        </w:rPr>
      </w:pPr>
    </w:p>
    <w:p>
      <w:pPr>
        <w:pStyle w:val="2"/>
        <w:rPr>
          <w:rFonts w:ascii="仿宋" w:hAnsi="仿宋" w:eastAsia="仿宋" w:cs="仿宋"/>
          <w:b/>
          <w:color w:val="auto"/>
        </w:rPr>
      </w:pPr>
    </w:p>
    <w:p>
      <w:pPr>
        <w:pStyle w:val="2"/>
        <w:rPr>
          <w:rFonts w:ascii="仿宋" w:hAnsi="仿宋" w:eastAsia="仿宋" w:cs="仿宋"/>
          <w:b/>
          <w:color w:val="auto"/>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left="57" w:leftChars="27" w:right="57" w:firstLine="209" w:firstLineChars="99"/>
        <w:jc w:val="left"/>
        <w:rPr>
          <w:rFonts w:ascii="仿宋" w:hAnsi="仿宋" w:eastAsia="仿宋" w:cs="仿宋"/>
          <w:b/>
          <w:kern w:val="0"/>
        </w:rPr>
      </w:pPr>
    </w:p>
    <w:p>
      <w:pPr>
        <w:widowControl/>
        <w:ind w:right="57"/>
        <w:jc w:val="left"/>
        <w:rPr>
          <w:rFonts w:ascii="仿宋" w:hAnsi="仿宋" w:eastAsia="仿宋" w:cs="仿宋"/>
          <w:b/>
          <w:kern w:val="0"/>
        </w:rPr>
      </w:pPr>
    </w:p>
    <w:p>
      <w:pPr>
        <w:widowControl/>
        <w:tabs>
          <w:tab w:val="left" w:pos="7185"/>
        </w:tabs>
        <w:ind w:right="57"/>
        <w:jc w:val="left"/>
        <w:rPr>
          <w:rFonts w:ascii="仿宋" w:hAnsi="仿宋" w:eastAsia="仿宋" w:cs="仿宋"/>
          <w:b/>
          <w:kern w:val="0"/>
        </w:rPr>
      </w:pPr>
    </w:p>
    <w:p>
      <w:pPr>
        <w:widowControl/>
        <w:tabs>
          <w:tab w:val="left" w:pos="7185"/>
        </w:tabs>
        <w:ind w:left="57" w:leftChars="27" w:right="57" w:firstLine="209" w:firstLineChars="99"/>
        <w:jc w:val="left"/>
        <w:rPr>
          <w:rFonts w:ascii="仿宋" w:hAnsi="仿宋" w:eastAsia="仿宋" w:cs="仿宋"/>
          <w:b/>
          <w:kern w:val="0"/>
        </w:rPr>
      </w:pPr>
      <w:r>
        <w:rPr>
          <w:rFonts w:hint="eastAsia" w:ascii="仿宋" w:hAnsi="仿宋" w:eastAsia="仿宋" w:cs="仿宋"/>
          <w:b/>
          <w:kern w:val="0"/>
        </w:rPr>
        <w:tab/>
      </w:r>
    </w:p>
    <w:p>
      <w:pPr>
        <w:widowControl/>
        <w:ind w:right="57"/>
        <w:jc w:val="center"/>
        <w:rPr>
          <w:rFonts w:ascii="仿宋" w:hAnsi="仿宋" w:eastAsia="仿宋" w:cs="仿宋"/>
          <w:b/>
          <w:kern w:val="0"/>
          <w:sz w:val="72"/>
          <w:szCs w:val="72"/>
        </w:rPr>
      </w:pPr>
      <w:r>
        <w:rPr>
          <w:rFonts w:hint="eastAsia" w:ascii="仿宋" w:hAnsi="仿宋" w:eastAsia="仿宋" w:cs="仿宋"/>
          <w:b/>
          <w:kern w:val="0"/>
          <w:sz w:val="72"/>
          <w:szCs w:val="72"/>
        </w:rPr>
        <w:t>投 标 文 件</w:t>
      </w:r>
    </w:p>
    <w:p>
      <w:pPr>
        <w:widowControl/>
        <w:ind w:right="57"/>
        <w:jc w:val="center"/>
        <w:rPr>
          <w:rFonts w:ascii="仿宋" w:hAnsi="仿宋" w:eastAsia="仿宋" w:cs="仿宋"/>
          <w:b/>
          <w:kern w:val="0"/>
          <w:sz w:val="32"/>
          <w:szCs w:val="32"/>
        </w:rPr>
      </w:pPr>
      <w:r>
        <w:rPr>
          <w:rFonts w:hint="eastAsia" w:ascii="仿宋" w:hAnsi="仿宋" w:eastAsia="仿宋" w:cs="仿宋"/>
          <w:b/>
          <w:kern w:val="0"/>
          <w:sz w:val="32"/>
          <w:szCs w:val="32"/>
        </w:rPr>
        <w:t>（项目编号：</w:t>
      </w:r>
      <w:r>
        <w:rPr>
          <w:rFonts w:hint="eastAsia" w:ascii="仿宋" w:hAnsi="仿宋" w:eastAsia="仿宋" w:cs="仿宋"/>
          <w:b/>
          <w:kern w:val="0"/>
          <w:sz w:val="32"/>
          <w:szCs w:val="32"/>
          <w:lang w:val="en-US" w:eastAsia="zh-CN"/>
        </w:rPr>
        <w:t>XXKCZLYY20210002</w:t>
      </w:r>
      <w:r>
        <w:rPr>
          <w:rFonts w:hint="eastAsia" w:ascii="仿宋" w:hAnsi="仿宋" w:eastAsia="仿宋" w:cs="仿宋"/>
          <w:b/>
          <w:kern w:val="0"/>
          <w:sz w:val="32"/>
          <w:szCs w:val="32"/>
        </w:rPr>
        <w:t>）</w:t>
      </w:r>
    </w:p>
    <w:p>
      <w:pPr>
        <w:widowControl/>
        <w:ind w:right="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left="57" w:right="57" w:firstLine="57"/>
        <w:jc w:val="left"/>
        <w:rPr>
          <w:rFonts w:ascii="仿宋" w:hAnsi="仿宋" w:eastAsia="仿宋" w:cs="仿宋"/>
          <w:bCs/>
          <w:kern w:val="0"/>
          <w:sz w:val="28"/>
        </w:rPr>
      </w:pPr>
    </w:p>
    <w:p>
      <w:pPr>
        <w:widowControl/>
        <w:ind w:right="57"/>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pStyle w:val="2"/>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left"/>
        <w:rPr>
          <w:rFonts w:ascii="仿宋" w:hAnsi="仿宋" w:eastAsia="仿宋" w:cs="仿宋"/>
          <w:b/>
          <w:kern w:val="0"/>
          <w:sz w:val="32"/>
        </w:rPr>
      </w:pPr>
    </w:p>
    <w:p>
      <w:pPr>
        <w:widowControl/>
        <w:ind w:left="2168" w:right="57" w:hanging="2168" w:hangingChars="675"/>
        <w:jc w:val="center"/>
        <w:rPr>
          <w:rFonts w:ascii="仿宋" w:hAnsi="仿宋" w:eastAsia="仿宋" w:cs="仿宋"/>
          <w:b/>
          <w:kern w:val="0"/>
          <w:sz w:val="32"/>
        </w:rPr>
      </w:pPr>
    </w:p>
    <w:p>
      <w:pPr>
        <w:pStyle w:val="27"/>
        <w:snapToGrid w:val="0"/>
        <w:spacing w:line="360" w:lineRule="auto"/>
        <w:ind w:left="560" w:hanging="560" w:hangingChars="200"/>
        <w:jc w:val="both"/>
        <w:rPr>
          <w:b/>
          <w:bCs/>
          <w:kern w:val="2"/>
          <w:sz w:val="32"/>
          <w:szCs w:val="28"/>
        </w:rPr>
      </w:pPr>
      <w:r>
        <w:rPr>
          <w:rFonts w:hint="eastAsia"/>
          <w:kern w:val="2"/>
          <w:sz w:val="28"/>
        </w:rPr>
        <w:t>投标人：</w:t>
      </w:r>
      <w:r>
        <w:rPr>
          <w:rFonts w:hint="eastAsia"/>
          <w:kern w:val="2"/>
          <w:sz w:val="28"/>
          <w:u w:val="single"/>
        </w:rPr>
        <w:t xml:space="preserve">                 </w:t>
      </w:r>
      <w:r>
        <w:rPr>
          <w:rFonts w:hint="eastAsia"/>
          <w:kern w:val="2"/>
          <w:sz w:val="28"/>
        </w:rPr>
        <w:t xml:space="preserve">（填写投标人全称并盖公章）      </w:t>
      </w:r>
    </w:p>
    <w:p>
      <w:pPr>
        <w:pStyle w:val="27"/>
        <w:snapToGrid w:val="0"/>
        <w:spacing w:line="360" w:lineRule="auto"/>
        <w:ind w:left="560" w:hanging="560" w:hangingChars="200"/>
        <w:jc w:val="both"/>
        <w:rPr>
          <w:kern w:val="2"/>
          <w:sz w:val="28"/>
        </w:rPr>
      </w:pPr>
      <w:r>
        <w:rPr>
          <w:rFonts w:hint="eastAsia"/>
          <w:kern w:val="2"/>
          <w:sz w:val="28"/>
        </w:rPr>
        <w:t>投标人法定代表人或委托代理人：</w:t>
      </w:r>
      <w:r>
        <w:rPr>
          <w:rFonts w:hint="eastAsia"/>
          <w:kern w:val="2"/>
          <w:sz w:val="28"/>
          <w:u w:val="single"/>
        </w:rPr>
        <w:t xml:space="preserve">               </w:t>
      </w:r>
      <w:r>
        <w:rPr>
          <w:rFonts w:hint="eastAsia"/>
          <w:kern w:val="2"/>
          <w:sz w:val="28"/>
        </w:rPr>
        <w:t>（签名）</w:t>
      </w:r>
    </w:p>
    <w:p>
      <w:pPr>
        <w:pStyle w:val="27"/>
        <w:snapToGrid w:val="0"/>
        <w:spacing w:line="360" w:lineRule="auto"/>
        <w:ind w:left="560" w:hanging="560" w:hangingChars="200"/>
        <w:jc w:val="both"/>
        <w:rPr>
          <w:kern w:val="2"/>
          <w:sz w:val="28"/>
        </w:rPr>
      </w:pPr>
      <w:r>
        <w:rPr>
          <w:rFonts w:hint="eastAsia"/>
          <w:kern w:val="2"/>
          <w:sz w:val="28"/>
        </w:rPr>
        <w:t>日期：</w:t>
      </w:r>
      <w:r>
        <w:rPr>
          <w:rFonts w:hint="eastAsia"/>
          <w:kern w:val="2"/>
          <w:sz w:val="28"/>
          <w:u w:val="single"/>
        </w:rPr>
        <w:t xml:space="preserve">    </w:t>
      </w:r>
      <w:r>
        <w:rPr>
          <w:rFonts w:hint="eastAsia"/>
          <w:kern w:val="2"/>
          <w:sz w:val="28"/>
        </w:rPr>
        <w:t>年</w:t>
      </w:r>
      <w:r>
        <w:rPr>
          <w:rFonts w:hint="eastAsia"/>
          <w:kern w:val="2"/>
          <w:sz w:val="28"/>
          <w:u w:val="single"/>
        </w:rPr>
        <w:t xml:space="preserve">    </w:t>
      </w:r>
      <w:r>
        <w:rPr>
          <w:rFonts w:hint="eastAsia"/>
          <w:kern w:val="2"/>
          <w:sz w:val="28"/>
        </w:rPr>
        <w:t>月</w:t>
      </w:r>
      <w:r>
        <w:rPr>
          <w:rFonts w:hint="eastAsia"/>
          <w:kern w:val="2"/>
          <w:sz w:val="28"/>
          <w:u w:val="single"/>
        </w:rPr>
        <w:t xml:space="preserve">    </w:t>
      </w:r>
      <w:r>
        <w:rPr>
          <w:rFonts w:hint="eastAsia"/>
          <w:kern w:val="2"/>
          <w:sz w:val="28"/>
        </w:rPr>
        <w:t>日</w:t>
      </w:r>
    </w:p>
    <w:p>
      <w:pPr>
        <w:pageBreakBefore/>
        <w:spacing w:line="360" w:lineRule="auto"/>
        <w:ind w:left="284" w:hanging="284"/>
        <w:jc w:val="center"/>
        <w:rPr>
          <w:rFonts w:ascii="仿宋" w:hAnsi="仿宋" w:eastAsia="仿宋" w:cs="仿宋"/>
          <w:b/>
          <w:bCs/>
          <w:sz w:val="36"/>
        </w:rPr>
        <w:sectPr>
          <w:headerReference r:id="rId14" w:type="first"/>
          <w:headerReference r:id="rId12" w:type="default"/>
          <w:footerReference r:id="rId15" w:type="default"/>
          <w:headerReference r:id="rId13" w:type="even"/>
          <w:footerReference r:id="rId16" w:type="even"/>
          <w:pgSz w:w="11906" w:h="16838"/>
          <w:pgMar w:top="1418" w:right="1418" w:bottom="1418" w:left="1418" w:header="737" w:footer="737" w:gutter="0"/>
          <w:pgNumType w:fmt="numberInDash" w:start="1" w:chapStyle="1"/>
          <w:cols w:space="720" w:num="1"/>
          <w:titlePg/>
        </w:sectPr>
      </w:pPr>
    </w:p>
    <w:p>
      <w:pPr>
        <w:spacing w:line="360" w:lineRule="auto"/>
        <w:jc w:val="center"/>
        <w:rPr>
          <w:rFonts w:ascii="仿宋" w:hAnsi="仿宋" w:eastAsia="仿宋" w:cs="仿宋"/>
          <w:b/>
          <w:bCs/>
          <w:sz w:val="52"/>
          <w:szCs w:val="52"/>
        </w:rPr>
      </w:pPr>
      <w:bookmarkStart w:id="110" w:name="_Toc47418724"/>
      <w:bookmarkStart w:id="111" w:name="_Toc49019229"/>
      <w:bookmarkStart w:id="112" w:name="_Toc88466041"/>
      <w:bookmarkStart w:id="113" w:name="_Toc47418931"/>
      <w:bookmarkStart w:id="114" w:name="_Toc48791228"/>
      <w:bookmarkStart w:id="115" w:name="_Toc48995844"/>
      <w:bookmarkStart w:id="116" w:name="_Toc47262062"/>
      <w:bookmarkStart w:id="117" w:name="_Toc47261683"/>
      <w:bookmarkStart w:id="118" w:name="_Toc47261878"/>
      <w:bookmarkStart w:id="119" w:name="_Toc47418248"/>
      <w:r>
        <w:rPr>
          <w:rFonts w:hint="eastAsia" w:ascii="仿宋" w:hAnsi="仿宋" w:eastAsia="仿宋" w:cs="仿宋"/>
          <w:b/>
          <w:bCs/>
          <w:sz w:val="52"/>
          <w:szCs w:val="52"/>
        </w:rPr>
        <w:t>目录</w:t>
      </w:r>
    </w:p>
    <w:p>
      <w:pPr>
        <w:pStyle w:val="2"/>
        <w:jc w:val="center"/>
      </w:pPr>
      <w:r>
        <w:rPr>
          <w:rFonts w:hint="eastAsia"/>
        </w:rPr>
        <w:t>（格式自拟）</w:t>
      </w: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rPr>
          <w:rFonts w:ascii="仿宋" w:hAnsi="仿宋" w:eastAsia="仿宋" w:cs="仿宋"/>
          <w:b/>
          <w:bCs/>
          <w:szCs w:val="21"/>
        </w:rPr>
      </w:pPr>
    </w:p>
    <w:p>
      <w:pPr>
        <w:spacing w:line="360" w:lineRule="auto"/>
        <w:rPr>
          <w:rFonts w:ascii="仿宋" w:hAnsi="仿宋" w:eastAsia="仿宋" w:cs="仿宋"/>
          <w:b/>
          <w:bCs/>
          <w:szCs w:val="21"/>
        </w:rPr>
      </w:pPr>
      <w:r>
        <w:rPr>
          <w:rFonts w:hint="eastAsia" w:ascii="仿宋" w:hAnsi="仿宋" w:eastAsia="仿宋" w:cs="仿宋"/>
          <w:b/>
          <w:bCs/>
          <w:szCs w:val="21"/>
        </w:rPr>
        <w:t>1、投标书格式</w:t>
      </w:r>
      <w:bookmarkEnd w:id="110"/>
      <w:bookmarkEnd w:id="111"/>
      <w:bookmarkEnd w:id="112"/>
      <w:bookmarkEnd w:id="113"/>
      <w:bookmarkEnd w:id="114"/>
      <w:bookmarkEnd w:id="115"/>
      <w:bookmarkEnd w:id="116"/>
      <w:bookmarkEnd w:id="117"/>
      <w:bookmarkEnd w:id="118"/>
      <w:bookmarkEnd w:id="119"/>
    </w:p>
    <w:p>
      <w:pPr>
        <w:widowControl/>
        <w:spacing w:line="560" w:lineRule="exact"/>
        <w:ind w:right="57"/>
        <w:jc w:val="center"/>
        <w:rPr>
          <w:rFonts w:ascii="仿宋" w:hAnsi="仿宋" w:eastAsia="仿宋" w:cs="仿宋"/>
          <w:b/>
          <w:kern w:val="0"/>
          <w:szCs w:val="21"/>
        </w:rPr>
      </w:pPr>
      <w:r>
        <w:rPr>
          <w:rFonts w:hint="eastAsia" w:ascii="仿宋" w:hAnsi="仿宋" w:eastAsia="仿宋" w:cs="仿宋"/>
          <w:b/>
          <w:kern w:val="0"/>
          <w:szCs w:val="21"/>
        </w:rPr>
        <w:t>投  标  书</w:t>
      </w:r>
    </w:p>
    <w:p>
      <w:pPr>
        <w:widowControl/>
        <w:spacing w:line="520" w:lineRule="exact"/>
        <w:ind w:right="57"/>
        <w:jc w:val="left"/>
        <w:rPr>
          <w:rFonts w:ascii="仿宋" w:hAnsi="仿宋" w:eastAsia="仿宋" w:cs="仿宋"/>
          <w:bCs/>
          <w:kern w:val="0"/>
          <w:szCs w:val="21"/>
          <w:u w:val="single"/>
        </w:rPr>
      </w:pPr>
      <w:r>
        <w:rPr>
          <w:rFonts w:hint="eastAsia" w:ascii="仿宋" w:hAnsi="仿宋" w:eastAsia="仿宋" w:cs="仿宋"/>
          <w:bCs/>
          <w:kern w:val="0"/>
          <w:szCs w:val="21"/>
        </w:rPr>
        <w:t xml:space="preserve"> 致：</w:t>
      </w:r>
      <w:r>
        <w:rPr>
          <w:rFonts w:hint="eastAsia" w:ascii="仿宋" w:hAnsi="仿宋" w:eastAsia="仿宋" w:cs="仿宋"/>
          <w:bCs/>
          <w:kern w:val="0"/>
          <w:szCs w:val="21"/>
          <w:u w:val="single"/>
        </w:rPr>
        <w:t xml:space="preserve">                 （采购人名称）：</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 xml:space="preserve">    根据贵方为</w:t>
      </w:r>
      <w:r>
        <w:rPr>
          <w:rFonts w:hint="eastAsia" w:ascii="仿宋" w:hAnsi="仿宋" w:eastAsia="仿宋" w:cs="仿宋"/>
          <w:bCs/>
          <w:kern w:val="0"/>
          <w:szCs w:val="21"/>
          <w:u w:val="single"/>
        </w:rPr>
        <w:t xml:space="preserve"> （项目名称）</w:t>
      </w:r>
      <w:r>
        <w:rPr>
          <w:rFonts w:hint="eastAsia" w:ascii="仿宋" w:hAnsi="仿宋" w:eastAsia="仿宋" w:cs="仿宋"/>
          <w:bCs/>
          <w:kern w:val="0"/>
          <w:szCs w:val="21"/>
        </w:rPr>
        <w:t>项目采购货物及服务的投标邀请</w:t>
      </w:r>
      <w:r>
        <w:rPr>
          <w:rFonts w:hint="eastAsia" w:ascii="仿宋" w:hAnsi="仿宋" w:eastAsia="仿宋" w:cs="仿宋"/>
          <w:bCs/>
          <w:kern w:val="0"/>
          <w:szCs w:val="21"/>
          <w:u w:val="single"/>
        </w:rPr>
        <w:t>（项目编号）</w:t>
      </w:r>
      <w:r>
        <w:rPr>
          <w:rFonts w:hint="eastAsia" w:ascii="仿宋" w:hAnsi="仿宋" w:eastAsia="仿宋" w:cs="仿宋"/>
          <w:bCs/>
          <w:kern w:val="0"/>
          <w:szCs w:val="21"/>
        </w:rPr>
        <w:t>，</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签字代表</w:t>
      </w:r>
      <w:r>
        <w:rPr>
          <w:rFonts w:hint="eastAsia" w:ascii="仿宋" w:hAnsi="仿宋" w:eastAsia="仿宋" w:cs="仿宋"/>
          <w:bCs/>
          <w:kern w:val="0"/>
          <w:szCs w:val="21"/>
          <w:u w:val="single"/>
        </w:rPr>
        <w:t>（姓名、职务）</w:t>
      </w:r>
      <w:r>
        <w:rPr>
          <w:rFonts w:hint="eastAsia" w:ascii="仿宋" w:hAnsi="仿宋" w:eastAsia="仿宋" w:cs="仿宋"/>
          <w:bCs/>
          <w:kern w:val="0"/>
          <w:szCs w:val="21"/>
        </w:rPr>
        <w:t>经正式授权并代表投标人</w:t>
      </w:r>
      <w:r>
        <w:rPr>
          <w:rFonts w:hint="eastAsia" w:ascii="仿宋" w:hAnsi="仿宋" w:eastAsia="仿宋" w:cs="仿宋"/>
          <w:bCs/>
          <w:kern w:val="0"/>
          <w:szCs w:val="21"/>
          <w:u w:val="single"/>
        </w:rPr>
        <w:t>（投标人名称、地址）</w:t>
      </w:r>
      <w:r>
        <w:rPr>
          <w:rFonts w:hint="eastAsia" w:ascii="仿宋" w:hAnsi="仿宋" w:eastAsia="仿宋" w:cs="仿宋"/>
          <w:bCs/>
          <w:kern w:val="0"/>
          <w:szCs w:val="21"/>
        </w:rPr>
        <w:t>提交下述文件正本一份及副本</w:t>
      </w:r>
      <w:r>
        <w:rPr>
          <w:rFonts w:hint="eastAsia" w:ascii="仿宋" w:hAnsi="仿宋" w:eastAsia="仿宋" w:cs="仿宋"/>
          <w:bCs/>
          <w:kern w:val="0"/>
          <w:szCs w:val="21"/>
          <w:u w:val="single"/>
        </w:rPr>
        <w:t xml:space="preserve">   </w:t>
      </w:r>
      <w:r>
        <w:rPr>
          <w:rFonts w:hint="eastAsia" w:ascii="仿宋" w:hAnsi="仿宋" w:eastAsia="仿宋" w:cs="仿宋"/>
          <w:bCs/>
          <w:kern w:val="0"/>
          <w:szCs w:val="21"/>
        </w:rPr>
        <w:t>份。</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1</w:t>
      </w:r>
      <w:r>
        <w:rPr>
          <w:rFonts w:hint="eastAsia" w:ascii="仿宋" w:hAnsi="仿宋" w:eastAsia="仿宋" w:cs="仿宋"/>
          <w:bCs/>
          <w:kern w:val="0"/>
          <w:szCs w:val="21"/>
        </w:rPr>
        <w:t>.投标分项报价表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2</w:t>
      </w:r>
      <w:r>
        <w:rPr>
          <w:rFonts w:hint="eastAsia" w:ascii="仿宋" w:hAnsi="仿宋" w:eastAsia="仿宋" w:cs="仿宋"/>
          <w:bCs/>
          <w:kern w:val="0"/>
          <w:szCs w:val="21"/>
        </w:rPr>
        <w:t>.技术规格偏离表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3</w:t>
      </w:r>
      <w:r>
        <w:rPr>
          <w:rFonts w:hint="eastAsia" w:ascii="仿宋" w:hAnsi="仿宋" w:eastAsia="仿宋" w:cs="仿宋"/>
          <w:bCs/>
          <w:kern w:val="0"/>
          <w:szCs w:val="21"/>
        </w:rPr>
        <w:t>.商务条款偏离表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4</w:t>
      </w:r>
      <w:r>
        <w:rPr>
          <w:rFonts w:hint="eastAsia" w:ascii="仿宋" w:hAnsi="仿宋" w:eastAsia="仿宋" w:cs="仿宋"/>
          <w:bCs/>
          <w:kern w:val="0"/>
          <w:szCs w:val="21"/>
        </w:rPr>
        <w:t>.供应商基本情况表</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5</w:t>
      </w:r>
      <w:r>
        <w:rPr>
          <w:rFonts w:hint="eastAsia" w:ascii="仿宋" w:hAnsi="仿宋" w:eastAsia="仿宋" w:cs="仿宋"/>
          <w:bCs/>
          <w:kern w:val="0"/>
          <w:szCs w:val="21"/>
        </w:rPr>
        <w:t>.资格证明文件</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6</w:t>
      </w:r>
      <w:r>
        <w:rPr>
          <w:rFonts w:hint="eastAsia" w:ascii="仿宋" w:hAnsi="仿宋" w:eastAsia="仿宋" w:cs="仿宋"/>
          <w:bCs/>
          <w:kern w:val="0"/>
          <w:szCs w:val="21"/>
        </w:rPr>
        <w:t>. 类似业绩</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7</w:t>
      </w:r>
      <w:r>
        <w:rPr>
          <w:rFonts w:hint="eastAsia" w:ascii="仿宋" w:hAnsi="仿宋" w:eastAsia="仿宋" w:cs="仿宋"/>
          <w:bCs/>
          <w:kern w:val="0"/>
          <w:szCs w:val="21"/>
        </w:rPr>
        <w:t>技术部分</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8</w:t>
      </w:r>
      <w:r>
        <w:rPr>
          <w:rFonts w:hint="eastAsia" w:ascii="仿宋" w:hAnsi="仿宋" w:eastAsia="仿宋" w:cs="仿宋"/>
          <w:bCs/>
          <w:kern w:val="0"/>
          <w:szCs w:val="21"/>
        </w:rPr>
        <w:t>.其他材料</w:t>
      </w:r>
    </w:p>
    <w:p>
      <w:pPr>
        <w:widowControl/>
        <w:tabs>
          <w:tab w:val="left" w:pos="1050"/>
        </w:tabs>
        <w:spacing w:line="520" w:lineRule="exact"/>
        <w:ind w:right="57"/>
        <w:jc w:val="left"/>
        <w:rPr>
          <w:rFonts w:ascii="仿宋" w:hAnsi="仿宋" w:eastAsia="仿宋" w:cs="仿宋"/>
          <w:bCs/>
          <w:kern w:val="0"/>
          <w:szCs w:val="21"/>
        </w:rPr>
      </w:pPr>
      <w:r>
        <w:rPr>
          <w:rFonts w:hint="eastAsia" w:ascii="仿宋" w:hAnsi="仿宋" w:eastAsia="仿宋" w:cs="仿宋"/>
          <w:bCs/>
          <w:kern w:val="0"/>
          <w:szCs w:val="21"/>
          <w:lang w:val="en-US" w:eastAsia="zh-CN"/>
        </w:rPr>
        <w:t>9.</w:t>
      </w:r>
      <w:r>
        <w:rPr>
          <w:rFonts w:hint="eastAsia" w:ascii="仿宋" w:hAnsi="仿宋" w:eastAsia="仿宋" w:cs="仿宋"/>
          <w:bCs/>
          <w:kern w:val="0"/>
          <w:szCs w:val="21"/>
        </w:rPr>
        <w:t>遵守国家有关法律、法规和规章，按招标文件中投标人须知和技术规格要求提供的有关文件。</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供货商：（盖章）</w:t>
      </w:r>
    </w:p>
    <w:p>
      <w:pPr>
        <w:widowControl/>
        <w:tabs>
          <w:tab w:val="left" w:pos="1050"/>
        </w:tabs>
        <w:spacing w:line="520" w:lineRule="exact"/>
        <w:ind w:left="57" w:right="57" w:firstLine="57"/>
        <w:jc w:val="left"/>
        <w:rPr>
          <w:rFonts w:ascii="仿宋" w:hAnsi="仿宋" w:eastAsia="仿宋" w:cs="仿宋"/>
          <w:bCs/>
          <w:kern w:val="0"/>
          <w:szCs w:val="21"/>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bCs/>
          <w:kern w:val="0"/>
          <w:szCs w:val="21"/>
        </w:rPr>
        <w:t xml:space="preserve">                         </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单位地址：</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传真：</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电话：</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投标人开户银行（全称）：</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投标人银行账号：</w:t>
      </w:r>
    </w:p>
    <w:p>
      <w:pPr>
        <w:widowControl/>
        <w:tabs>
          <w:tab w:val="left" w:pos="1050"/>
        </w:tabs>
        <w:spacing w:line="520" w:lineRule="exact"/>
        <w:ind w:right="57" w:firstLine="130" w:firstLineChars="50"/>
        <w:rPr>
          <w:rFonts w:ascii="仿宋" w:hAnsi="仿宋" w:eastAsia="仿宋" w:cs="仿宋"/>
          <w:bCs/>
          <w:kern w:val="0"/>
          <w:szCs w:val="21"/>
        </w:rPr>
      </w:pPr>
      <w:r>
        <w:rPr>
          <w:rFonts w:hint="eastAsia" w:ascii="仿宋" w:hAnsi="仿宋" w:eastAsia="仿宋" w:cs="仿宋"/>
          <w:bCs/>
          <w:kern w:val="0"/>
          <w:szCs w:val="21"/>
        </w:rPr>
        <w:t xml:space="preserve">    日期：_______年_______月_______日</w:t>
      </w:r>
    </w:p>
    <w:p>
      <w:pPr>
        <w:widowControl/>
        <w:tabs>
          <w:tab w:val="left" w:pos="1050"/>
        </w:tabs>
        <w:spacing w:line="520" w:lineRule="exact"/>
        <w:ind w:right="57" w:firstLine="130" w:firstLineChars="50"/>
        <w:rPr>
          <w:rFonts w:ascii="仿宋" w:hAnsi="仿宋" w:eastAsia="仿宋" w:cs="仿宋"/>
          <w:bCs/>
          <w:kern w:val="0"/>
          <w:szCs w:val="21"/>
        </w:rPr>
      </w:pPr>
    </w:p>
    <w:p>
      <w:pPr>
        <w:pStyle w:val="2"/>
        <w:rPr>
          <w:rFonts w:ascii="仿宋" w:hAnsi="仿宋" w:eastAsia="仿宋" w:cs="仿宋"/>
          <w:bCs/>
          <w:color w:val="auto"/>
          <w:szCs w:val="21"/>
        </w:rPr>
      </w:pPr>
    </w:p>
    <w:p>
      <w:pPr>
        <w:rPr>
          <w:rFonts w:ascii="仿宋" w:hAnsi="仿宋" w:eastAsia="仿宋" w:cs="仿宋"/>
        </w:rPr>
      </w:pPr>
      <w:bookmarkStart w:id="120" w:name="_Toc47261684"/>
      <w:bookmarkStart w:id="121" w:name="_Toc47418932"/>
      <w:bookmarkStart w:id="122" w:name="_Toc47261879"/>
      <w:bookmarkStart w:id="123" w:name="_Toc47262063"/>
      <w:bookmarkStart w:id="124" w:name="_Toc47418725"/>
      <w:bookmarkStart w:id="125" w:name="_Toc49019230"/>
      <w:bookmarkStart w:id="126" w:name="_Toc48791229"/>
      <w:bookmarkStart w:id="127" w:name="_Toc47418249"/>
      <w:bookmarkStart w:id="128" w:name="_Toc48995845"/>
    </w:p>
    <w:p>
      <w:pPr>
        <w:pStyle w:val="2"/>
        <w:rPr>
          <w:rFonts w:ascii="宋体" w:hAnsi="宋体"/>
          <w:b/>
          <w:sz w:val="32"/>
          <w:szCs w:val="32"/>
        </w:rPr>
      </w:pPr>
      <w:r>
        <w:rPr>
          <w:rFonts w:hint="eastAsia" w:ascii="仿宋" w:hAnsi="仿宋" w:eastAsia="仿宋" w:cs="仿宋"/>
          <w:bCs/>
          <w:color w:val="auto"/>
          <w:szCs w:val="21"/>
        </w:rPr>
        <w:t>1.</w:t>
      </w:r>
      <w:r>
        <w:rPr>
          <w:rFonts w:hint="eastAsia" w:ascii="仿宋" w:hAnsi="仿宋" w:eastAsia="仿宋" w:cs="仿宋"/>
          <w:bCs/>
          <w:color w:val="auto"/>
          <w:szCs w:val="21"/>
          <w:lang w:val="en-US" w:eastAsia="zh-CN"/>
        </w:rPr>
        <w:t>1</w:t>
      </w:r>
      <w:r>
        <w:rPr>
          <w:rFonts w:hint="eastAsia" w:ascii="宋体" w:hAnsi="宋体"/>
          <w:b/>
          <w:sz w:val="32"/>
          <w:szCs w:val="32"/>
        </w:rPr>
        <w:t>法人代表授权书</w:t>
      </w:r>
    </w:p>
    <w:p>
      <w:pPr>
        <w:ind w:firstLine="660"/>
        <w:jc w:val="center"/>
        <w:rPr>
          <w:rFonts w:ascii="宋体" w:hAnsi="宋体"/>
          <w:sz w:val="28"/>
        </w:rPr>
      </w:pPr>
    </w:p>
    <w:p>
      <w:pPr>
        <w:spacing w:line="520" w:lineRule="exact"/>
        <w:ind w:firstLine="990"/>
        <w:rPr>
          <w:rFonts w:ascii="宋体" w:hAnsi="宋体"/>
          <w:sz w:val="24"/>
        </w:rPr>
      </w:pPr>
      <w:r>
        <w:rPr>
          <w:rFonts w:hint="eastAsia" w:ascii="宋体" w:hAnsi="宋体"/>
          <w:sz w:val="24"/>
        </w:rPr>
        <w:t>本授权书声明：注册于</w:t>
      </w:r>
      <w:r>
        <w:rPr>
          <w:rFonts w:hint="eastAsia" w:ascii="宋体" w:hAnsi="宋体"/>
          <w:sz w:val="24"/>
          <w:u w:val="single"/>
        </w:rPr>
        <w:t xml:space="preserve">      省（市）</w:t>
      </w:r>
      <w:r>
        <w:rPr>
          <w:rFonts w:hint="eastAsia" w:ascii="宋体" w:hAnsi="宋体"/>
          <w:sz w:val="24"/>
        </w:rPr>
        <w:t xml:space="preserve"> 的</w:t>
      </w:r>
      <w:r>
        <w:rPr>
          <w:rFonts w:hint="eastAsia" w:ascii="宋体" w:hAnsi="宋体"/>
          <w:sz w:val="24"/>
          <w:u w:val="single"/>
        </w:rPr>
        <w:t xml:space="preserve">         </w:t>
      </w:r>
      <w:r>
        <w:rPr>
          <w:rFonts w:hint="eastAsia" w:ascii="宋体" w:hAnsi="宋体"/>
          <w:sz w:val="24"/>
        </w:rPr>
        <w:t xml:space="preserve"> 公司的（法人代表姓名、职务）代本公司授予</w:t>
      </w:r>
      <w:r>
        <w:rPr>
          <w:rFonts w:hint="eastAsia" w:ascii="宋体" w:hAnsi="宋体"/>
          <w:sz w:val="24"/>
          <w:u w:val="single"/>
        </w:rPr>
        <w:t xml:space="preserve">     </w:t>
      </w:r>
      <w:r>
        <w:rPr>
          <w:rFonts w:hint="eastAsia" w:ascii="宋体" w:hAnsi="宋体"/>
          <w:sz w:val="24"/>
        </w:rPr>
        <w:t xml:space="preserve"> (被授权人的姓名、职务)为公司的合法代理人，就招标编号为________的_________项目投标及合同的执行、完成和保修，以本公司名义处理一切与之有关的事务。</w:t>
      </w:r>
    </w:p>
    <w:p>
      <w:pPr>
        <w:spacing w:line="520" w:lineRule="exact"/>
        <w:ind w:firstLine="660"/>
        <w:rPr>
          <w:rFonts w:ascii="宋体" w:hAnsi="宋体"/>
          <w:sz w:val="24"/>
        </w:rPr>
      </w:pPr>
    </w:p>
    <w:p>
      <w:pPr>
        <w:ind w:firstLine="660"/>
        <w:rPr>
          <w:rFonts w:ascii="宋体" w:hAnsi="宋体"/>
          <w:sz w:val="24"/>
        </w:rPr>
      </w:pPr>
    </w:p>
    <w:p>
      <w:pPr>
        <w:ind w:firstLine="660"/>
        <w:rPr>
          <w:rFonts w:ascii="宋体" w:hAnsi="宋体"/>
          <w:sz w:val="24"/>
        </w:rPr>
      </w:pPr>
    </w:p>
    <w:p>
      <w:pPr>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 月 </w:t>
      </w:r>
      <w:r>
        <w:rPr>
          <w:rFonts w:hint="eastAsia" w:ascii="宋体" w:hAnsi="宋体"/>
          <w:sz w:val="24"/>
          <w:u w:val="single"/>
        </w:rPr>
        <w:t xml:space="preserve">     </w:t>
      </w:r>
      <w:r>
        <w:rPr>
          <w:rFonts w:hint="eastAsia" w:ascii="宋体" w:hAnsi="宋体"/>
          <w:sz w:val="24"/>
        </w:rPr>
        <w:t>日签字生效，特此声明。</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法定代表人（签字）：</w:t>
      </w:r>
      <w:r>
        <w:rPr>
          <w:rFonts w:hint="eastAsia" w:ascii="宋体" w:hAnsi="宋体"/>
          <w:sz w:val="24"/>
          <w:u w:val="single"/>
        </w:rPr>
        <w:t xml:space="preserve">            </w:t>
      </w:r>
      <w:r>
        <w:rPr>
          <w:rFonts w:hint="eastAsia" w:ascii="宋体" w:hAnsi="宋体"/>
          <w:sz w:val="24"/>
        </w:rPr>
        <w:t xml:space="preserve"> </w:t>
      </w:r>
    </w:p>
    <w:p>
      <w:pPr>
        <w:rPr>
          <w:rFonts w:ascii="宋体" w:hAnsi="宋体"/>
          <w:sz w:val="24"/>
        </w:rPr>
      </w:pPr>
    </w:p>
    <w:p>
      <w:pPr>
        <w:rPr>
          <w:rFonts w:ascii="宋体" w:hAnsi="宋体"/>
          <w:sz w:val="24"/>
          <w:u w:val="single"/>
        </w:rPr>
      </w:pPr>
      <w:r>
        <w:rPr>
          <w:rFonts w:hint="eastAsia" w:ascii="宋体" w:hAnsi="宋体"/>
          <w:sz w:val="24"/>
        </w:rPr>
        <w:t>代理人(被授权人)签字：</w:t>
      </w:r>
      <w:r>
        <w:rPr>
          <w:rFonts w:hint="eastAsia" w:ascii="宋体" w:hAnsi="宋体"/>
          <w:sz w:val="24"/>
          <w:u w:val="single"/>
        </w:rPr>
        <w:t xml:space="preserve">                    </w:t>
      </w:r>
    </w:p>
    <w:p>
      <w:pPr>
        <w:jc w:val="right"/>
        <w:rPr>
          <w:rFonts w:ascii="宋体" w:hAnsi="宋体"/>
          <w:sz w:val="24"/>
        </w:rPr>
      </w:pPr>
    </w:p>
    <w:p>
      <w:pPr>
        <w:jc w:val="right"/>
        <w:rPr>
          <w:rFonts w:ascii="宋体" w:hAnsi="宋体"/>
          <w:sz w:val="24"/>
        </w:rPr>
      </w:pPr>
    </w:p>
    <w:p>
      <w:pPr>
        <w:jc w:val="right"/>
        <w:rPr>
          <w:rFonts w:ascii="宋体" w:hAnsi="宋体"/>
          <w:sz w:val="24"/>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（盖章）</w:t>
      </w:r>
    </w:p>
    <w:p>
      <w:pPr>
        <w:wordWrap w:val="0"/>
        <w:jc w:val="right"/>
        <w:rPr>
          <w:rFonts w:ascii="宋体" w:hAnsi="宋体"/>
          <w:sz w:val="24"/>
        </w:rPr>
      </w:pPr>
      <w:r>
        <w:rPr>
          <w:rFonts w:hint="eastAsia" w:ascii="宋体" w:hAnsi="宋体"/>
          <w:sz w:val="24"/>
        </w:rPr>
        <w:t xml:space="preserve">年     月    日        </w:t>
      </w:r>
    </w:p>
    <w:p>
      <w:pPr>
        <w:rPr>
          <w:rFonts w:ascii="宋体" w:hAnsi="宋体"/>
          <w:sz w:val="24"/>
        </w:rPr>
        <w:sectPr>
          <w:pgSz w:w="11907" w:h="16839"/>
          <w:pgMar w:top="1361" w:right="1134" w:bottom="1440" w:left="1134" w:header="851" w:footer="992" w:gutter="0"/>
          <w:cols w:space="720" w:num="1"/>
          <w:docGrid w:type="linesAndChars" w:linePitch="286" w:charSpace="10240"/>
        </w:sectPr>
      </w:pPr>
      <w:r>
        <w:rPr>
          <w:rFonts w:hint="eastAsia" w:ascii="宋体" w:hAnsi="宋体"/>
          <w:sz w:val="24"/>
        </w:rPr>
        <w:t xml:space="preserve"> </w:t>
      </w:r>
    </w:p>
    <w:bookmarkEnd w:id="120"/>
    <w:bookmarkEnd w:id="121"/>
    <w:bookmarkEnd w:id="122"/>
    <w:bookmarkEnd w:id="123"/>
    <w:bookmarkEnd w:id="124"/>
    <w:bookmarkEnd w:id="125"/>
    <w:bookmarkEnd w:id="126"/>
    <w:bookmarkEnd w:id="127"/>
    <w:bookmarkEnd w:id="128"/>
    <w:p>
      <w:pPr>
        <w:pageBreakBefore/>
        <w:spacing w:line="360" w:lineRule="auto"/>
        <w:rPr>
          <w:rFonts w:ascii="仿宋" w:hAnsi="仿宋" w:eastAsia="仿宋" w:cs="仿宋"/>
          <w:b/>
          <w:bCs/>
          <w:szCs w:val="21"/>
        </w:rPr>
      </w:pPr>
      <w:bookmarkStart w:id="129" w:name="_Toc48995846"/>
      <w:bookmarkStart w:id="130" w:name="_Toc47261685"/>
      <w:bookmarkStart w:id="131" w:name="_Toc47418933"/>
      <w:bookmarkStart w:id="132" w:name="_Toc47418250"/>
      <w:bookmarkStart w:id="133" w:name="_Toc47418726"/>
      <w:bookmarkStart w:id="134" w:name="_Toc49019231"/>
      <w:bookmarkStart w:id="135" w:name="_Toc47262064"/>
      <w:bookmarkStart w:id="136" w:name="_Toc47261880"/>
      <w:bookmarkStart w:id="137" w:name="_Toc48791230"/>
      <w:r>
        <w:rPr>
          <w:rFonts w:hint="eastAsia" w:ascii="仿宋" w:hAnsi="仿宋" w:eastAsia="仿宋" w:cs="仿宋"/>
          <w:b/>
          <w:bCs/>
          <w:szCs w:val="21"/>
          <w:lang w:val="en-US" w:eastAsia="zh-CN"/>
        </w:rPr>
        <w:t>1</w:t>
      </w:r>
      <w:r>
        <w:rPr>
          <w:rFonts w:hint="eastAsia" w:ascii="仿宋" w:hAnsi="仿宋" w:eastAsia="仿宋" w:cs="仿宋"/>
          <w:b/>
          <w:bCs/>
          <w:szCs w:val="21"/>
        </w:rPr>
        <w:t>、投标分项报价表格式</w:t>
      </w:r>
    </w:p>
    <w:p>
      <w:pPr>
        <w:spacing w:line="360" w:lineRule="auto"/>
        <w:rPr>
          <w:rFonts w:ascii="仿宋" w:hAnsi="仿宋" w:eastAsia="仿宋" w:cs="仿宋"/>
        </w:rPr>
      </w:pPr>
      <w:r>
        <w:rPr>
          <w:rFonts w:hint="eastAsia" w:ascii="仿宋" w:hAnsi="仿宋" w:eastAsia="仿宋" w:cs="仿宋"/>
        </w:rPr>
        <w:t>投标人名称：</w:t>
      </w:r>
      <w:r>
        <w:rPr>
          <w:rFonts w:hint="eastAsia" w:ascii="仿宋" w:hAnsi="仿宋" w:eastAsia="仿宋" w:cs="仿宋"/>
          <w:u w:val="single"/>
        </w:rPr>
        <w:t xml:space="preserve">                </w:t>
      </w:r>
      <w:r>
        <w:rPr>
          <w:rFonts w:hint="eastAsia" w:ascii="仿宋" w:hAnsi="仿宋" w:eastAsia="仿宋" w:cs="仿宋"/>
        </w:rPr>
        <w:t xml:space="preserve">  项目编号：</w:t>
      </w:r>
      <w:r>
        <w:rPr>
          <w:rFonts w:hint="eastAsia" w:ascii="仿宋" w:hAnsi="仿宋" w:eastAsia="仿宋" w:cs="仿宋"/>
          <w:u w:val="single"/>
        </w:rPr>
        <w:t xml:space="preserve">            </w:t>
      </w:r>
      <w:r>
        <w:rPr>
          <w:rFonts w:hint="eastAsia" w:ascii="仿宋" w:hAnsi="仿宋" w:eastAsia="仿宋" w:cs="仿宋"/>
        </w:rPr>
        <w:t xml:space="preserve">  包号：  报价单位：人民币元 </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4953"/>
        <w:gridCol w:w="109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4953" w:type="dxa"/>
            <w:tcBorders>
              <w:left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名称</w:t>
            </w:r>
          </w:p>
        </w:tc>
        <w:tc>
          <w:tcPr>
            <w:tcW w:w="1094" w:type="dxa"/>
            <w:vAlign w:val="center"/>
          </w:tcPr>
          <w:p>
            <w:pPr>
              <w:spacing w:line="360" w:lineRule="auto"/>
              <w:jc w:val="center"/>
              <w:rPr>
                <w:rFonts w:ascii="仿宋" w:hAnsi="仿宋" w:eastAsia="仿宋" w:cs="仿宋"/>
              </w:rPr>
            </w:pPr>
            <w:r>
              <w:rPr>
                <w:rFonts w:hint="eastAsia" w:ascii="仿宋" w:hAnsi="仿宋" w:eastAsia="仿宋" w:cs="仿宋"/>
              </w:rPr>
              <w:t>单价</w:t>
            </w:r>
          </w:p>
        </w:tc>
        <w:tc>
          <w:tcPr>
            <w:tcW w:w="1473"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tcBorders>
              <w:top w:val="single" w:color="auto" w:sz="4" w:space="0"/>
            </w:tcBorders>
            <w:vAlign w:val="center"/>
          </w:tcPr>
          <w:p>
            <w:pPr>
              <w:spacing w:line="360" w:lineRule="auto"/>
              <w:jc w:val="center"/>
              <w:rPr>
                <w:rFonts w:ascii="仿宋" w:hAnsi="仿宋" w:eastAsia="仿宋" w:cs="仿宋"/>
              </w:rPr>
            </w:pPr>
            <w:r>
              <w:rPr>
                <w:rFonts w:hint="eastAsia" w:ascii="仿宋" w:hAnsi="仿宋" w:eastAsia="仿宋" w:cs="仿宋"/>
              </w:rPr>
              <w:t>1</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2</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716" w:type="dxa"/>
            <w:vAlign w:val="center"/>
          </w:tcPr>
          <w:p>
            <w:pPr>
              <w:spacing w:line="360" w:lineRule="auto"/>
              <w:jc w:val="center"/>
              <w:rPr>
                <w:rFonts w:ascii="仿宋" w:hAnsi="仿宋" w:eastAsia="仿宋" w:cs="仿宋"/>
              </w:rPr>
            </w:pPr>
            <w:r>
              <w:rPr>
                <w:rFonts w:hint="eastAsia" w:ascii="仿宋" w:hAnsi="仿宋" w:eastAsia="仿宋" w:cs="仿宋"/>
              </w:rPr>
              <w:t>3</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4</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6" w:type="dxa"/>
            <w:vAlign w:val="center"/>
          </w:tcPr>
          <w:p>
            <w:pPr>
              <w:spacing w:line="360" w:lineRule="auto"/>
              <w:jc w:val="center"/>
              <w:rPr>
                <w:rFonts w:ascii="仿宋" w:hAnsi="仿宋" w:eastAsia="仿宋" w:cs="仿宋"/>
              </w:rPr>
            </w:pPr>
            <w:r>
              <w:rPr>
                <w:rFonts w:hint="eastAsia" w:ascii="仿宋" w:hAnsi="仿宋" w:eastAsia="仿宋" w:cs="仿宋"/>
              </w:rPr>
              <w:t>5</w:t>
            </w:r>
          </w:p>
        </w:tc>
        <w:tc>
          <w:tcPr>
            <w:tcW w:w="4953" w:type="dxa"/>
            <w:vAlign w:val="center"/>
          </w:tcPr>
          <w:p>
            <w:pPr>
              <w:spacing w:line="360" w:lineRule="auto"/>
              <w:rPr>
                <w:rFonts w:ascii="仿宋" w:hAnsi="仿宋" w:eastAsia="仿宋" w:cs="仿宋"/>
              </w:rPr>
            </w:pPr>
          </w:p>
        </w:tc>
        <w:tc>
          <w:tcPr>
            <w:tcW w:w="1094" w:type="dxa"/>
          </w:tcPr>
          <w:p>
            <w:pPr>
              <w:spacing w:line="360" w:lineRule="auto"/>
              <w:rPr>
                <w:rFonts w:ascii="仿宋" w:hAnsi="仿宋" w:eastAsia="仿宋" w:cs="仿宋"/>
              </w:rPr>
            </w:pPr>
          </w:p>
        </w:tc>
        <w:tc>
          <w:tcPr>
            <w:tcW w:w="1473" w:type="dxa"/>
          </w:tcPr>
          <w:p>
            <w:pPr>
              <w:spacing w:line="360" w:lineRule="auto"/>
              <w:rPr>
                <w:rFonts w:ascii="仿宋" w:hAnsi="仿宋" w:eastAsia="仿宋" w:cs="仿宋"/>
              </w:rPr>
            </w:pPr>
          </w:p>
        </w:tc>
      </w:tr>
    </w:tbl>
    <w:p>
      <w:pPr>
        <w:spacing w:line="360" w:lineRule="auto"/>
        <w:rPr>
          <w:rFonts w:ascii="仿宋" w:hAnsi="仿宋" w:eastAsia="仿宋" w:cs="仿宋"/>
        </w:rPr>
      </w:pPr>
      <w:r>
        <w:rPr>
          <w:rFonts w:hint="eastAsia" w:ascii="仿宋" w:hAnsi="仿宋" w:eastAsia="仿宋" w:cs="仿宋"/>
          <w:bCs/>
          <w:kern w:val="0"/>
          <w:szCs w:val="21"/>
        </w:rPr>
        <w:t>法定代表人和其授权委托代理人</w:t>
      </w:r>
      <w:r>
        <w:rPr>
          <w:rFonts w:hint="eastAsia" w:ascii="仿宋" w:hAnsi="仿宋" w:eastAsia="仿宋" w:cs="仿宋"/>
          <w:szCs w:val="21"/>
        </w:rPr>
        <w:t>（</w:t>
      </w:r>
      <w:r>
        <w:rPr>
          <w:rFonts w:hint="eastAsia" w:ascii="仿宋" w:hAnsi="仿宋" w:eastAsia="仿宋" w:cs="仿宋"/>
          <w:bCs/>
          <w:kern w:val="0"/>
          <w:szCs w:val="21"/>
        </w:rPr>
        <w:t>签字</w:t>
      </w:r>
      <w:r>
        <w:rPr>
          <w:rFonts w:hint="eastAsia" w:ascii="仿宋" w:hAnsi="仿宋" w:eastAsia="仿宋" w:cs="仿宋"/>
          <w:szCs w:val="21"/>
        </w:rPr>
        <w:t>)</w:t>
      </w:r>
      <w:r>
        <w:rPr>
          <w:rFonts w:hint="eastAsia" w:ascii="仿宋" w:hAnsi="仿宋" w:eastAsia="仿宋" w:cs="仿宋"/>
        </w:rPr>
        <w:t>：</w:t>
      </w:r>
    </w:p>
    <w:p>
      <w:pPr>
        <w:spacing w:line="360" w:lineRule="auto"/>
        <w:rPr>
          <w:rFonts w:ascii="仿宋" w:hAnsi="仿宋" w:eastAsia="仿宋" w:cs="仿宋"/>
        </w:rPr>
      </w:pPr>
      <w:r>
        <w:rPr>
          <w:rFonts w:hint="eastAsia" w:ascii="仿宋" w:hAnsi="仿宋" w:eastAsia="仿宋" w:cs="仿宋"/>
        </w:rPr>
        <w:t>投标人（盖章）：</w:t>
      </w:r>
    </w:p>
    <w:p>
      <w:pPr>
        <w:spacing w:line="360" w:lineRule="auto"/>
        <w:rPr>
          <w:rFonts w:ascii="仿宋" w:hAnsi="仿宋" w:eastAsia="仿宋" w:cs="仿宋"/>
        </w:rPr>
      </w:pPr>
      <w:r>
        <w:rPr>
          <w:rFonts w:hint="eastAsia" w:ascii="仿宋" w:hAnsi="仿宋" w:eastAsia="仿宋" w:cs="仿宋"/>
        </w:rPr>
        <w:t>注：</w:t>
      </w:r>
    </w:p>
    <w:p>
      <w:pPr>
        <w:numPr>
          <w:ilvl w:val="0"/>
          <w:numId w:val="2"/>
        </w:numPr>
        <w:spacing w:line="360" w:lineRule="auto"/>
        <w:rPr>
          <w:rFonts w:ascii="仿宋" w:hAnsi="仿宋" w:eastAsia="仿宋" w:cs="仿宋"/>
        </w:rPr>
      </w:pPr>
      <w:r>
        <w:rPr>
          <w:rFonts w:hint="eastAsia" w:ascii="仿宋" w:hAnsi="仿宋" w:eastAsia="仿宋" w:cs="仿宋"/>
        </w:rPr>
        <w:t>如果不提供详细分项报价将视为没有实质性响应招标文件。</w:t>
      </w:r>
    </w:p>
    <w:p>
      <w:pPr>
        <w:numPr>
          <w:ilvl w:val="0"/>
          <w:numId w:val="2"/>
        </w:numPr>
        <w:spacing w:line="360" w:lineRule="auto"/>
        <w:rPr>
          <w:rFonts w:ascii="仿宋" w:hAnsi="仿宋" w:eastAsia="仿宋" w:cs="仿宋"/>
        </w:rPr>
      </w:pPr>
      <w:r>
        <w:rPr>
          <w:rFonts w:hint="eastAsia" w:ascii="仿宋" w:hAnsi="仿宋" w:eastAsia="仿宋" w:cs="仿宋"/>
        </w:rPr>
        <w:t>上述各项的详细分项报价，应另页描述。</w:t>
      </w: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p>
      <w:pPr>
        <w:spacing w:line="360" w:lineRule="auto"/>
        <w:rPr>
          <w:rFonts w:ascii="仿宋" w:hAnsi="仿宋" w:eastAsia="仿宋" w:cs="仿宋"/>
        </w:rPr>
      </w:pPr>
    </w:p>
    <w:bookmarkEnd w:id="129"/>
    <w:bookmarkEnd w:id="130"/>
    <w:bookmarkEnd w:id="131"/>
    <w:bookmarkEnd w:id="132"/>
    <w:bookmarkEnd w:id="133"/>
    <w:bookmarkEnd w:id="134"/>
    <w:bookmarkEnd w:id="135"/>
    <w:bookmarkEnd w:id="136"/>
    <w:bookmarkEnd w:id="137"/>
    <w:p>
      <w:pPr>
        <w:pageBreakBefore/>
        <w:spacing w:line="360" w:lineRule="auto"/>
        <w:rPr>
          <w:rFonts w:ascii="仿宋" w:hAnsi="仿宋" w:eastAsia="仿宋" w:cs="仿宋"/>
          <w:b/>
          <w:bCs/>
          <w:szCs w:val="21"/>
        </w:rPr>
      </w:pPr>
      <w:bookmarkStart w:id="138" w:name="_Toc49019234"/>
      <w:bookmarkStart w:id="139" w:name="_Toc47262067"/>
      <w:bookmarkStart w:id="140" w:name="_Toc48791233"/>
      <w:bookmarkStart w:id="141" w:name="_Toc47418253"/>
      <w:bookmarkStart w:id="142" w:name="_Toc47418729"/>
      <w:bookmarkStart w:id="143" w:name="_Toc48995849"/>
      <w:bookmarkStart w:id="144" w:name="_Toc47261688"/>
      <w:bookmarkStart w:id="145" w:name="_Toc47261883"/>
      <w:bookmarkStart w:id="146" w:name="_Toc47418936"/>
      <w:bookmarkStart w:id="147" w:name="_Toc88466046"/>
      <w:r>
        <w:rPr>
          <w:rFonts w:hint="eastAsia" w:ascii="仿宋" w:hAnsi="仿宋" w:eastAsia="仿宋" w:cs="仿宋"/>
          <w:b/>
          <w:bCs/>
          <w:szCs w:val="21"/>
          <w:lang w:val="en-US" w:eastAsia="zh-CN"/>
        </w:rPr>
        <w:t>2</w:t>
      </w:r>
      <w:r>
        <w:rPr>
          <w:rFonts w:hint="eastAsia" w:ascii="仿宋" w:hAnsi="仿宋" w:eastAsia="仿宋" w:cs="仿宋"/>
          <w:b/>
          <w:bCs/>
          <w:szCs w:val="21"/>
        </w:rPr>
        <w:t>、技术条款偏离表格式</w:t>
      </w:r>
      <w:bookmarkEnd w:id="138"/>
      <w:bookmarkEnd w:id="139"/>
      <w:bookmarkEnd w:id="140"/>
      <w:bookmarkEnd w:id="141"/>
      <w:bookmarkEnd w:id="142"/>
      <w:bookmarkEnd w:id="143"/>
      <w:bookmarkEnd w:id="144"/>
      <w:bookmarkEnd w:id="145"/>
      <w:bookmarkEnd w:id="146"/>
      <w:bookmarkEnd w:id="147"/>
    </w:p>
    <w:p>
      <w:pPr>
        <w:spacing w:line="360" w:lineRule="auto"/>
        <w:rPr>
          <w:rFonts w:ascii="仿宋" w:hAnsi="仿宋" w:eastAsia="仿宋" w:cs="仿宋"/>
          <w:szCs w:val="21"/>
        </w:rPr>
      </w:pPr>
    </w:p>
    <w:p>
      <w:pPr>
        <w:spacing w:line="360" w:lineRule="auto"/>
        <w:jc w:val="center"/>
        <w:rPr>
          <w:rFonts w:ascii="仿宋" w:hAnsi="仿宋" w:eastAsia="仿宋" w:cs="仿宋"/>
          <w:b/>
          <w:bCs/>
          <w:szCs w:val="21"/>
        </w:rPr>
      </w:pPr>
      <w:r>
        <w:rPr>
          <w:rFonts w:hint="eastAsia" w:ascii="仿宋" w:hAnsi="仿宋" w:eastAsia="仿宋" w:cs="仿宋"/>
          <w:b/>
          <w:bCs/>
          <w:szCs w:val="21"/>
        </w:rPr>
        <w:t>技术条款偏离表</w:t>
      </w:r>
    </w:p>
    <w:p>
      <w:pPr>
        <w:spacing w:line="360" w:lineRule="auto"/>
        <w:rPr>
          <w:rFonts w:ascii="仿宋" w:hAnsi="仿宋" w:eastAsia="仿宋" w:cs="仿宋"/>
          <w:szCs w:val="21"/>
          <w:u w:val="single"/>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648"/>
        <w:gridCol w:w="2083"/>
        <w:gridCol w:w="2289"/>
        <w:gridCol w:w="1050"/>
        <w:gridCol w:w="9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1648"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货物名称</w:t>
            </w:r>
          </w:p>
        </w:tc>
        <w:tc>
          <w:tcPr>
            <w:tcW w:w="20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招标文件采购需求规格</w:t>
            </w:r>
          </w:p>
        </w:tc>
        <w:tc>
          <w:tcPr>
            <w:tcW w:w="2289"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投标规格</w:t>
            </w:r>
          </w:p>
        </w:tc>
        <w:tc>
          <w:tcPr>
            <w:tcW w:w="105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偏离</w:t>
            </w:r>
          </w:p>
        </w:tc>
        <w:tc>
          <w:tcPr>
            <w:tcW w:w="94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1648" w:type="dxa"/>
          </w:tcPr>
          <w:p>
            <w:pPr>
              <w:spacing w:line="360" w:lineRule="auto"/>
              <w:rPr>
                <w:rFonts w:ascii="仿宋" w:hAnsi="仿宋" w:eastAsia="仿宋" w:cs="仿宋"/>
                <w:szCs w:val="21"/>
              </w:rPr>
            </w:pPr>
          </w:p>
        </w:tc>
        <w:tc>
          <w:tcPr>
            <w:tcW w:w="2083" w:type="dxa"/>
          </w:tcPr>
          <w:p>
            <w:pPr>
              <w:spacing w:line="360" w:lineRule="auto"/>
              <w:rPr>
                <w:rFonts w:ascii="仿宋" w:hAnsi="仿宋" w:eastAsia="仿宋" w:cs="仿宋"/>
                <w:szCs w:val="21"/>
              </w:rPr>
            </w:pPr>
          </w:p>
        </w:tc>
        <w:tc>
          <w:tcPr>
            <w:tcW w:w="2289" w:type="dxa"/>
          </w:tcPr>
          <w:p>
            <w:pPr>
              <w:spacing w:line="360" w:lineRule="auto"/>
              <w:rPr>
                <w:rFonts w:ascii="仿宋" w:hAnsi="仿宋" w:eastAsia="仿宋" w:cs="仿宋"/>
                <w:szCs w:val="21"/>
              </w:rPr>
            </w:pPr>
          </w:p>
        </w:tc>
        <w:tc>
          <w:tcPr>
            <w:tcW w:w="1050" w:type="dxa"/>
          </w:tcPr>
          <w:p>
            <w:pPr>
              <w:spacing w:line="360" w:lineRule="auto"/>
              <w:rPr>
                <w:rFonts w:ascii="仿宋" w:hAnsi="仿宋" w:eastAsia="仿宋" w:cs="仿宋"/>
                <w:szCs w:val="21"/>
              </w:rPr>
            </w:pPr>
          </w:p>
        </w:tc>
        <w:tc>
          <w:tcPr>
            <w:tcW w:w="945"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szCs w:val="21"/>
          <w:u w:val="single"/>
        </w:rPr>
        <w:t xml:space="preserve">               </w:t>
      </w:r>
    </w:p>
    <w:p>
      <w:pPr>
        <w:pageBreakBefore/>
        <w:spacing w:line="360" w:lineRule="auto"/>
        <w:rPr>
          <w:rFonts w:ascii="仿宋" w:hAnsi="仿宋" w:eastAsia="仿宋" w:cs="仿宋"/>
          <w:b/>
          <w:bCs/>
          <w:szCs w:val="21"/>
        </w:rPr>
      </w:pPr>
      <w:r>
        <w:rPr>
          <w:rFonts w:hint="eastAsia" w:ascii="仿宋" w:hAnsi="仿宋" w:eastAsia="仿宋" w:cs="仿宋"/>
          <w:b/>
          <w:bCs/>
          <w:szCs w:val="21"/>
          <w:lang w:val="en-US" w:eastAsia="zh-CN"/>
        </w:rPr>
        <w:t>3</w:t>
      </w:r>
      <w:r>
        <w:rPr>
          <w:rFonts w:hint="eastAsia" w:ascii="仿宋" w:hAnsi="仿宋" w:eastAsia="仿宋" w:cs="仿宋"/>
          <w:b/>
          <w:bCs/>
          <w:szCs w:val="21"/>
        </w:rPr>
        <w:t>、商务条款偏离表格式</w:t>
      </w:r>
    </w:p>
    <w:p>
      <w:pPr>
        <w:spacing w:line="360" w:lineRule="auto"/>
        <w:jc w:val="center"/>
        <w:rPr>
          <w:rFonts w:ascii="仿宋" w:hAnsi="仿宋" w:eastAsia="仿宋" w:cs="仿宋"/>
          <w:b/>
          <w:bCs/>
          <w:szCs w:val="21"/>
        </w:rPr>
      </w:pPr>
      <w:r>
        <w:rPr>
          <w:rFonts w:hint="eastAsia" w:ascii="仿宋" w:hAnsi="仿宋" w:eastAsia="仿宋" w:cs="仿宋"/>
          <w:b/>
          <w:bCs/>
          <w:szCs w:val="21"/>
        </w:rPr>
        <w:t>商务条款偏离表</w:t>
      </w:r>
    </w:p>
    <w:p>
      <w:pPr>
        <w:spacing w:line="360" w:lineRule="auto"/>
        <w:rPr>
          <w:rFonts w:ascii="仿宋" w:hAnsi="仿宋" w:eastAsia="仿宋" w:cs="仿宋"/>
          <w:szCs w:val="21"/>
        </w:rPr>
      </w:pPr>
      <w:r>
        <w:rPr>
          <w:rFonts w:hint="eastAsia" w:ascii="仿宋" w:hAnsi="仿宋" w:eastAsia="仿宋" w:cs="仿宋"/>
          <w:szCs w:val="21"/>
        </w:rPr>
        <w:t>投标人名称：                                         项目编号：</w:t>
      </w:r>
    </w:p>
    <w:tbl>
      <w:tblPr>
        <w:tblStyle w:val="30"/>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3"/>
        <w:gridCol w:w="2183"/>
        <w:gridCol w:w="2262"/>
        <w:gridCol w:w="2625"/>
        <w:gridCol w:w="12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91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序号</w:t>
            </w:r>
          </w:p>
        </w:tc>
        <w:tc>
          <w:tcPr>
            <w:tcW w:w="2183"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招标文件条款号</w:t>
            </w:r>
          </w:p>
        </w:tc>
        <w:tc>
          <w:tcPr>
            <w:tcW w:w="2262"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招标文件的商务条款</w:t>
            </w:r>
          </w:p>
        </w:tc>
        <w:tc>
          <w:tcPr>
            <w:tcW w:w="2625"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投标文件的商务条款</w:t>
            </w:r>
          </w:p>
        </w:tc>
        <w:tc>
          <w:tcPr>
            <w:tcW w:w="1260" w:type="dxa"/>
            <w:vAlign w:val="center"/>
          </w:tcPr>
          <w:p>
            <w:pPr>
              <w:spacing w:line="360" w:lineRule="auto"/>
              <w:jc w:val="center"/>
              <w:rPr>
                <w:rFonts w:ascii="仿宋" w:hAnsi="仿宋" w:eastAsia="仿宋" w:cs="仿宋"/>
                <w:sz w:val="22"/>
                <w:szCs w:val="22"/>
              </w:rPr>
            </w:pPr>
            <w:r>
              <w:rPr>
                <w:rFonts w:hint="eastAsia" w:ascii="仿宋" w:hAnsi="仿宋" w:eastAsia="仿宋" w:cs="仿宋"/>
                <w:sz w:val="22"/>
                <w:szCs w:val="22"/>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913" w:type="dxa"/>
          </w:tcPr>
          <w:p>
            <w:pPr>
              <w:spacing w:line="360" w:lineRule="auto"/>
              <w:rPr>
                <w:rFonts w:ascii="仿宋" w:hAnsi="仿宋" w:eastAsia="仿宋" w:cs="仿宋"/>
                <w:szCs w:val="21"/>
              </w:rPr>
            </w:pPr>
          </w:p>
        </w:tc>
        <w:tc>
          <w:tcPr>
            <w:tcW w:w="2183" w:type="dxa"/>
          </w:tcPr>
          <w:p>
            <w:pPr>
              <w:spacing w:line="360" w:lineRule="auto"/>
              <w:rPr>
                <w:rFonts w:ascii="仿宋" w:hAnsi="仿宋" w:eastAsia="仿宋" w:cs="仿宋"/>
                <w:szCs w:val="21"/>
              </w:rPr>
            </w:pPr>
          </w:p>
        </w:tc>
        <w:tc>
          <w:tcPr>
            <w:tcW w:w="2262" w:type="dxa"/>
          </w:tcPr>
          <w:p>
            <w:pPr>
              <w:spacing w:line="360" w:lineRule="auto"/>
              <w:rPr>
                <w:rFonts w:ascii="仿宋" w:hAnsi="仿宋" w:eastAsia="仿宋" w:cs="仿宋"/>
                <w:szCs w:val="21"/>
              </w:rPr>
            </w:pPr>
          </w:p>
        </w:tc>
        <w:tc>
          <w:tcPr>
            <w:tcW w:w="2625" w:type="dxa"/>
          </w:tcPr>
          <w:p>
            <w:pPr>
              <w:spacing w:line="360" w:lineRule="auto"/>
              <w:rPr>
                <w:rFonts w:ascii="仿宋" w:hAnsi="仿宋" w:eastAsia="仿宋" w:cs="仿宋"/>
                <w:szCs w:val="21"/>
              </w:rPr>
            </w:pPr>
          </w:p>
        </w:tc>
        <w:tc>
          <w:tcPr>
            <w:tcW w:w="1260" w:type="dxa"/>
          </w:tcPr>
          <w:p>
            <w:pPr>
              <w:spacing w:line="360" w:lineRule="auto"/>
              <w:rPr>
                <w:rFonts w:ascii="仿宋" w:hAnsi="仿宋" w:eastAsia="仿宋" w:cs="仿宋"/>
                <w:szCs w:val="21"/>
              </w:rPr>
            </w:pPr>
          </w:p>
        </w:tc>
      </w:tr>
    </w:tbl>
    <w:p>
      <w:pPr>
        <w:spacing w:line="360" w:lineRule="auto"/>
        <w:rPr>
          <w:rFonts w:ascii="仿宋" w:hAnsi="仿宋" w:eastAsia="仿宋" w:cs="仿宋"/>
          <w:szCs w:val="21"/>
        </w:rPr>
      </w:pPr>
    </w:p>
    <w:p>
      <w:pPr>
        <w:spacing w:line="360" w:lineRule="auto"/>
        <w:rPr>
          <w:rFonts w:ascii="仿宋" w:hAnsi="仿宋" w:eastAsia="仿宋" w:cs="仿宋"/>
          <w:szCs w:val="21"/>
        </w:rPr>
      </w:pPr>
      <w:bookmarkStart w:id="148" w:name="_Toc47418254"/>
      <w:bookmarkStart w:id="149" w:name="_Toc47418730"/>
      <w:bookmarkStart w:id="150" w:name="_Toc47261884"/>
      <w:bookmarkStart w:id="151" w:name="_Toc48791234"/>
      <w:bookmarkStart w:id="152" w:name="_Toc47262068"/>
      <w:bookmarkStart w:id="153" w:name="_Toc47418937"/>
      <w:bookmarkStart w:id="154" w:name="_Toc48995850"/>
      <w:bookmarkStart w:id="155" w:name="_Toc88466047"/>
      <w:bookmarkStart w:id="156" w:name="_Toc47261689"/>
      <w:bookmarkStart w:id="157" w:name="_Toc49019235"/>
      <w:r>
        <w:rPr>
          <w:rFonts w:hint="eastAsia" w:ascii="仿宋" w:hAnsi="仿宋" w:eastAsia="仿宋" w:cs="仿宋"/>
          <w:szCs w:val="21"/>
        </w:rPr>
        <w:t>投标人名称（盖章）：</w:t>
      </w:r>
      <w:r>
        <w:rPr>
          <w:rFonts w:hint="eastAsia" w:ascii="仿宋" w:hAnsi="仿宋" w:eastAsia="仿宋" w:cs="仿宋"/>
          <w:szCs w:val="21"/>
          <w:u w:val="single"/>
        </w:rPr>
        <w:t xml:space="preserve">                             </w:t>
      </w:r>
    </w:p>
    <w:p>
      <w:pPr>
        <w:spacing w:line="360" w:lineRule="auto"/>
        <w:rPr>
          <w:rFonts w:ascii="仿宋" w:hAnsi="仿宋" w:eastAsia="仿宋" w:cs="仿宋"/>
          <w:szCs w:val="21"/>
          <w:u w:val="single"/>
        </w:rPr>
      </w:pPr>
      <w:r>
        <w:rPr>
          <w:rFonts w:hint="eastAsia" w:ascii="仿宋" w:hAnsi="仿宋" w:eastAsia="仿宋" w:cs="仿宋"/>
          <w:bCs/>
          <w:kern w:val="0"/>
          <w:szCs w:val="21"/>
        </w:rPr>
        <w:t>法定代表人或其授权委托代理人</w:t>
      </w:r>
      <w:r>
        <w:rPr>
          <w:rFonts w:hint="eastAsia" w:ascii="仿宋" w:hAnsi="仿宋" w:eastAsia="仿宋" w:cs="仿宋"/>
          <w:szCs w:val="21"/>
        </w:rPr>
        <w:t>（</w:t>
      </w:r>
      <w:r>
        <w:rPr>
          <w:rFonts w:hint="eastAsia" w:ascii="仿宋" w:hAnsi="仿宋" w:eastAsia="仿宋" w:cs="仿宋"/>
          <w:bCs/>
          <w:kern w:val="0"/>
          <w:szCs w:val="21"/>
        </w:rPr>
        <w:t>盖章或签字</w:t>
      </w:r>
      <w:r>
        <w:rPr>
          <w:rFonts w:hint="eastAsia" w:ascii="仿宋" w:hAnsi="仿宋" w:eastAsia="仿宋" w:cs="仿宋"/>
          <w:szCs w:val="21"/>
        </w:rPr>
        <w:t>)：</w:t>
      </w:r>
      <w:r>
        <w:rPr>
          <w:rFonts w:hint="eastAsia" w:ascii="仿宋" w:hAnsi="仿宋" w:eastAsia="仿宋" w:cs="仿宋"/>
          <w:szCs w:val="21"/>
          <w:u w:val="single"/>
        </w:rPr>
        <w:t xml:space="preserve">    </w:t>
      </w: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widowControl/>
        <w:spacing w:line="360" w:lineRule="atLeast"/>
        <w:rPr>
          <w:rFonts w:ascii="仿宋" w:hAnsi="仿宋" w:eastAsia="仿宋" w:cs="仿宋"/>
          <w:szCs w:val="21"/>
          <w:u w:val="single"/>
        </w:rPr>
      </w:pPr>
    </w:p>
    <w:p>
      <w:pPr>
        <w:pStyle w:val="2"/>
      </w:pPr>
    </w:p>
    <w:p>
      <w:pPr>
        <w:pStyle w:val="2"/>
      </w:pPr>
    </w:p>
    <w:p>
      <w:pPr>
        <w:widowControl/>
        <w:spacing w:line="360" w:lineRule="atLeast"/>
        <w:jc w:val="center"/>
        <w:rPr>
          <w:rFonts w:ascii="楷体" w:hAnsi="楷体" w:eastAsia="楷体"/>
          <w:b/>
          <w:color w:val="FF0000"/>
          <w:sz w:val="32"/>
          <w:szCs w:val="32"/>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4</w:t>
      </w:r>
      <w:r>
        <w:rPr>
          <w:rFonts w:hint="eastAsia" w:ascii="仿宋" w:hAnsi="仿宋" w:eastAsia="仿宋" w:cs="仿宋"/>
          <w:b/>
          <w:bCs/>
          <w:szCs w:val="21"/>
        </w:rPr>
        <w:t>、供应商基本情况表</w:t>
      </w:r>
    </w:p>
    <w:tbl>
      <w:tblPr>
        <w:tblStyle w:val="30"/>
        <w:tblW w:w="9192"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3"/>
        <w:gridCol w:w="1071"/>
        <w:gridCol w:w="1386"/>
        <w:gridCol w:w="1395"/>
        <w:gridCol w:w="1477"/>
        <w:gridCol w:w="951"/>
        <w:gridCol w:w="120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供应商名称</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注册地址</w:t>
            </w:r>
          </w:p>
        </w:tc>
        <w:tc>
          <w:tcPr>
            <w:tcW w:w="3852" w:type="dxa"/>
            <w:gridSpan w:val="3"/>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邮政编码</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Merge w:val="restart"/>
            <w:vAlign w:val="center"/>
          </w:tcPr>
          <w:p>
            <w:pPr>
              <w:widowControl/>
              <w:spacing w:line="360" w:lineRule="atLeast"/>
              <w:jc w:val="center"/>
              <w:rPr>
                <w:rFonts w:ascii="楷体" w:hAnsi="楷体" w:eastAsia="楷体"/>
                <w:sz w:val="24"/>
              </w:rPr>
            </w:pPr>
            <w:r>
              <w:rPr>
                <w:rFonts w:hint="eastAsia" w:ascii="楷体" w:hAnsi="楷体" w:eastAsia="楷体"/>
                <w:sz w:val="24"/>
              </w:rPr>
              <w:t>联系方式</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联系人</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03" w:type="dxa"/>
            <w:vMerge w:val="continue"/>
            <w:vAlign w:val="center"/>
          </w:tcPr>
          <w:p>
            <w:pPr>
              <w:jc w:val="center"/>
              <w:rPr>
                <w:rFonts w:ascii="楷体" w:hAnsi="楷体" w:eastAsia="楷体"/>
              </w:rPr>
            </w:pP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传真</w:t>
            </w:r>
          </w:p>
        </w:tc>
        <w:tc>
          <w:tcPr>
            <w:tcW w:w="2781" w:type="dxa"/>
            <w:gridSpan w:val="2"/>
            <w:vAlign w:val="center"/>
          </w:tcPr>
          <w:p>
            <w:pPr>
              <w:widowControl/>
              <w:spacing w:line="360" w:lineRule="atLeast"/>
              <w:ind w:firstLine="470" w:firstLineChars="196"/>
              <w:jc w:val="center"/>
              <w:rPr>
                <w:rFonts w:ascii="楷体" w:hAnsi="楷体" w:eastAsia="楷体"/>
                <w:sz w:val="24"/>
              </w:rPr>
            </w:pPr>
          </w:p>
        </w:tc>
        <w:tc>
          <w:tcPr>
            <w:tcW w:w="1477" w:type="dxa"/>
            <w:vAlign w:val="center"/>
          </w:tcPr>
          <w:p>
            <w:pPr>
              <w:widowControl/>
              <w:spacing w:line="360" w:lineRule="atLeast"/>
              <w:jc w:val="center"/>
              <w:rPr>
                <w:rFonts w:ascii="楷体" w:hAnsi="楷体" w:eastAsia="楷体"/>
                <w:sz w:val="24"/>
              </w:rPr>
            </w:pPr>
            <w:r>
              <w:rPr>
                <w:rFonts w:hint="eastAsia" w:ascii="楷体" w:hAnsi="楷体" w:eastAsia="楷体"/>
                <w:sz w:val="24"/>
              </w:rPr>
              <w:t>网址</w:t>
            </w:r>
          </w:p>
        </w:tc>
        <w:tc>
          <w:tcPr>
            <w:tcW w:w="2160" w:type="dxa"/>
            <w:gridSpan w:val="2"/>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组织结构</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法定代表人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技术负责人</w:t>
            </w:r>
          </w:p>
        </w:tc>
        <w:tc>
          <w:tcPr>
            <w:tcW w:w="1071" w:type="dxa"/>
            <w:vAlign w:val="center"/>
          </w:tcPr>
          <w:p>
            <w:pPr>
              <w:widowControl/>
              <w:spacing w:line="360" w:lineRule="atLeast"/>
              <w:jc w:val="center"/>
              <w:rPr>
                <w:rFonts w:ascii="楷体" w:hAnsi="楷体" w:eastAsia="楷体"/>
                <w:sz w:val="24"/>
              </w:rPr>
            </w:pPr>
            <w:r>
              <w:rPr>
                <w:rFonts w:hint="eastAsia" w:ascii="楷体" w:hAnsi="楷体" w:eastAsia="楷体"/>
                <w:sz w:val="24"/>
              </w:rPr>
              <w:t>姓名</w:t>
            </w:r>
          </w:p>
        </w:tc>
        <w:tc>
          <w:tcPr>
            <w:tcW w:w="1386" w:type="dxa"/>
            <w:vAlign w:val="center"/>
          </w:tcPr>
          <w:p>
            <w:pPr>
              <w:widowControl/>
              <w:spacing w:line="360" w:lineRule="atLeast"/>
              <w:ind w:firstLine="470" w:firstLineChars="196"/>
              <w:jc w:val="center"/>
              <w:rPr>
                <w:rFonts w:ascii="楷体" w:hAnsi="楷体" w:eastAsia="楷体"/>
                <w:sz w:val="24"/>
              </w:rPr>
            </w:pPr>
          </w:p>
        </w:tc>
        <w:tc>
          <w:tcPr>
            <w:tcW w:w="1395" w:type="dxa"/>
            <w:vAlign w:val="center"/>
          </w:tcPr>
          <w:p>
            <w:pPr>
              <w:widowControl/>
              <w:spacing w:line="360" w:lineRule="atLeast"/>
              <w:jc w:val="center"/>
              <w:rPr>
                <w:rFonts w:ascii="楷体" w:hAnsi="楷体" w:eastAsia="楷体"/>
                <w:sz w:val="24"/>
              </w:rPr>
            </w:pPr>
            <w:r>
              <w:rPr>
                <w:rFonts w:hint="eastAsia" w:ascii="楷体" w:hAnsi="楷体" w:eastAsia="楷体"/>
                <w:sz w:val="24"/>
              </w:rPr>
              <w:t>技术职称</w:t>
            </w:r>
          </w:p>
        </w:tc>
        <w:tc>
          <w:tcPr>
            <w:tcW w:w="1477" w:type="dxa"/>
            <w:vAlign w:val="center"/>
          </w:tcPr>
          <w:p>
            <w:pPr>
              <w:widowControl/>
              <w:spacing w:line="360" w:lineRule="atLeast"/>
              <w:ind w:firstLine="470" w:firstLineChars="196"/>
              <w:jc w:val="center"/>
              <w:rPr>
                <w:rFonts w:ascii="楷体" w:hAnsi="楷体" w:eastAsia="楷体"/>
                <w:sz w:val="24"/>
              </w:rPr>
            </w:pPr>
          </w:p>
        </w:tc>
        <w:tc>
          <w:tcPr>
            <w:tcW w:w="951" w:type="dxa"/>
            <w:vAlign w:val="center"/>
          </w:tcPr>
          <w:p>
            <w:pPr>
              <w:widowControl/>
              <w:spacing w:line="360" w:lineRule="atLeast"/>
              <w:jc w:val="center"/>
              <w:rPr>
                <w:rFonts w:ascii="楷体" w:hAnsi="楷体" w:eastAsia="楷体"/>
                <w:sz w:val="24"/>
              </w:rPr>
            </w:pPr>
            <w:r>
              <w:rPr>
                <w:rFonts w:hint="eastAsia" w:ascii="楷体" w:hAnsi="楷体" w:eastAsia="楷体"/>
                <w:sz w:val="24"/>
              </w:rPr>
              <w:t>电话</w:t>
            </w:r>
          </w:p>
        </w:tc>
        <w:tc>
          <w:tcPr>
            <w:tcW w:w="1209" w:type="dxa"/>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成立时间</w:t>
            </w:r>
          </w:p>
        </w:tc>
        <w:tc>
          <w:tcPr>
            <w:tcW w:w="2457" w:type="dxa"/>
            <w:gridSpan w:val="2"/>
            <w:vAlign w:val="center"/>
          </w:tcPr>
          <w:p>
            <w:pPr>
              <w:widowControl/>
              <w:spacing w:line="360" w:lineRule="atLeast"/>
              <w:ind w:firstLine="470" w:firstLineChars="196"/>
              <w:jc w:val="center"/>
              <w:rPr>
                <w:rFonts w:ascii="楷体" w:hAnsi="楷体" w:eastAsia="楷体"/>
                <w:sz w:val="24"/>
              </w:rPr>
            </w:pPr>
          </w:p>
        </w:tc>
        <w:tc>
          <w:tcPr>
            <w:tcW w:w="5032" w:type="dxa"/>
            <w:gridSpan w:val="4"/>
            <w:vAlign w:val="center"/>
          </w:tcPr>
          <w:p>
            <w:pPr>
              <w:widowControl/>
              <w:spacing w:line="360" w:lineRule="atLeast"/>
              <w:ind w:firstLine="120" w:firstLineChars="50"/>
              <w:rPr>
                <w:rFonts w:ascii="楷体" w:hAnsi="楷体" w:eastAsia="楷体"/>
                <w:sz w:val="24"/>
              </w:rPr>
            </w:pPr>
            <w:r>
              <w:rPr>
                <w:rFonts w:hint="eastAsia" w:ascii="楷体" w:hAnsi="楷体" w:eastAsia="楷体"/>
                <w:sz w:val="24"/>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营业执照号</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注册资金</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开户银行</w:t>
            </w:r>
          </w:p>
        </w:tc>
        <w:tc>
          <w:tcPr>
            <w:tcW w:w="7489" w:type="dxa"/>
            <w:gridSpan w:val="6"/>
            <w:tcBorders>
              <w:top w:val="single" w:color="auto" w:sz="4" w:space="0"/>
              <w:bottom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1"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账号</w:t>
            </w:r>
          </w:p>
        </w:tc>
        <w:tc>
          <w:tcPr>
            <w:tcW w:w="7489" w:type="dxa"/>
            <w:gridSpan w:val="6"/>
            <w:tcBorders>
              <w:top w:val="single" w:color="auto" w:sz="4" w:space="0"/>
            </w:tcBorders>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35"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经营范围</w:t>
            </w:r>
          </w:p>
        </w:tc>
        <w:tc>
          <w:tcPr>
            <w:tcW w:w="7489" w:type="dxa"/>
            <w:gridSpan w:val="6"/>
            <w:vAlign w:val="center"/>
          </w:tcPr>
          <w:p>
            <w:pPr>
              <w:widowControl/>
              <w:spacing w:line="360" w:lineRule="atLeast"/>
              <w:ind w:firstLine="470" w:firstLineChars="196"/>
              <w:jc w:val="center"/>
              <w:rPr>
                <w:rFonts w:ascii="楷体" w:hAnsi="楷体" w:eastAsia="楷体"/>
                <w:sz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69" w:hRule="atLeast"/>
        </w:trPr>
        <w:tc>
          <w:tcPr>
            <w:tcW w:w="1703" w:type="dxa"/>
            <w:vAlign w:val="center"/>
          </w:tcPr>
          <w:p>
            <w:pPr>
              <w:widowControl/>
              <w:spacing w:line="360" w:lineRule="atLeast"/>
              <w:jc w:val="center"/>
              <w:rPr>
                <w:rFonts w:ascii="楷体" w:hAnsi="楷体" w:eastAsia="楷体"/>
                <w:sz w:val="24"/>
              </w:rPr>
            </w:pPr>
            <w:r>
              <w:rPr>
                <w:rFonts w:hint="eastAsia" w:ascii="楷体" w:hAnsi="楷体" w:eastAsia="楷体"/>
                <w:sz w:val="24"/>
              </w:rPr>
              <w:t>备注</w:t>
            </w:r>
          </w:p>
        </w:tc>
        <w:tc>
          <w:tcPr>
            <w:tcW w:w="7489" w:type="dxa"/>
            <w:gridSpan w:val="6"/>
          </w:tcPr>
          <w:p>
            <w:pPr>
              <w:widowControl/>
              <w:spacing w:line="360" w:lineRule="atLeast"/>
              <w:ind w:firstLine="470" w:firstLineChars="196"/>
              <w:jc w:val="left"/>
              <w:rPr>
                <w:rFonts w:ascii="楷体" w:hAnsi="楷体" w:eastAsia="楷体"/>
                <w:sz w:val="24"/>
              </w:rPr>
            </w:pPr>
          </w:p>
        </w:tc>
      </w:tr>
    </w:tbl>
    <w:p>
      <w:pPr>
        <w:widowControl/>
        <w:spacing w:line="360" w:lineRule="atLeast"/>
        <w:ind w:firstLine="472" w:firstLineChars="196"/>
        <w:jc w:val="left"/>
        <w:rPr>
          <w:rFonts w:ascii="楷体" w:hAnsi="楷体" w:eastAsia="楷体"/>
          <w:b/>
          <w:sz w:val="24"/>
        </w:rPr>
      </w:pPr>
    </w:p>
    <w:p>
      <w:pPr>
        <w:widowControl/>
        <w:spacing w:line="360" w:lineRule="atLeast"/>
        <w:ind w:firstLine="472" w:firstLineChars="196"/>
        <w:jc w:val="left"/>
        <w:rPr>
          <w:rFonts w:ascii="楷体" w:hAnsi="楷体" w:eastAsia="楷体"/>
          <w:b/>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供应商名称：</w:t>
      </w:r>
      <w:r>
        <w:rPr>
          <w:rFonts w:ascii="楷体" w:hAnsi="楷体" w:eastAsia="楷体"/>
          <w:sz w:val="24"/>
          <w:u w:val="single"/>
        </w:rPr>
        <w:t xml:space="preserve">             </w:t>
      </w:r>
      <w:r>
        <w:rPr>
          <w:rFonts w:hint="eastAsia" w:ascii="楷体" w:hAnsi="楷体" w:eastAsia="楷体"/>
          <w:sz w:val="24"/>
        </w:rPr>
        <w:t>（单位盖章）。</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法定代表人或授权代表（签字或加盖个人名章）：</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widowControl/>
        <w:spacing w:line="360" w:lineRule="atLeast"/>
        <w:ind w:firstLine="470" w:firstLineChars="196"/>
        <w:jc w:val="left"/>
        <w:rPr>
          <w:rFonts w:ascii="楷体" w:hAnsi="楷体" w:eastAsia="楷体"/>
          <w:sz w:val="24"/>
        </w:rPr>
      </w:pPr>
      <w:r>
        <w:rPr>
          <w:rFonts w:hint="eastAsia" w:ascii="楷体" w:hAnsi="楷体" w:eastAsia="楷体"/>
          <w:sz w:val="24"/>
        </w:rPr>
        <w:t xml:space="preserve">投标日期: </w:t>
      </w:r>
      <w:r>
        <w:rPr>
          <w:rFonts w:ascii="楷体" w:hAnsi="楷体" w:eastAsia="楷体"/>
          <w:sz w:val="24"/>
          <w:u w:val="single"/>
        </w:rPr>
        <w:t xml:space="preserve">              </w:t>
      </w:r>
      <w:r>
        <w:rPr>
          <w:rFonts w:hint="eastAsia" w:ascii="楷体" w:hAnsi="楷体" w:eastAsia="楷体"/>
          <w:sz w:val="24"/>
        </w:rPr>
        <w:t>。</w:t>
      </w:r>
    </w:p>
    <w:p>
      <w:pPr>
        <w:widowControl/>
        <w:spacing w:line="360" w:lineRule="atLeast"/>
        <w:ind w:firstLine="470" w:firstLineChars="196"/>
        <w:jc w:val="left"/>
        <w:rPr>
          <w:rFonts w:ascii="楷体" w:hAnsi="楷体" w:eastAsia="楷体"/>
          <w:sz w:val="24"/>
        </w:rPr>
      </w:pPr>
    </w:p>
    <w:p>
      <w:pPr>
        <w:pageBreakBefore/>
        <w:spacing w:line="360" w:lineRule="auto"/>
        <w:jc w:val="center"/>
        <w:rPr>
          <w:rFonts w:ascii="仿宋" w:hAnsi="仿宋" w:eastAsia="仿宋" w:cs="仿宋"/>
          <w:b/>
          <w:bCs/>
          <w:szCs w:val="21"/>
        </w:rPr>
      </w:pPr>
      <w:r>
        <w:rPr>
          <w:rFonts w:hint="eastAsia" w:ascii="仿宋" w:hAnsi="仿宋" w:eastAsia="仿宋" w:cs="仿宋"/>
          <w:b/>
          <w:bCs/>
          <w:szCs w:val="21"/>
          <w:lang w:val="en-US" w:eastAsia="zh-CN"/>
        </w:rPr>
        <w:t>5</w:t>
      </w:r>
      <w:r>
        <w:rPr>
          <w:rFonts w:hint="eastAsia" w:ascii="仿宋" w:hAnsi="仿宋" w:eastAsia="仿宋" w:cs="仿宋"/>
          <w:b/>
          <w:bCs/>
          <w:szCs w:val="21"/>
        </w:rPr>
        <w:t>、资格证明文件（格式）</w:t>
      </w:r>
    </w:p>
    <w:p>
      <w:pPr>
        <w:pStyle w:val="39"/>
        <w:numPr>
          <w:ilvl w:val="1"/>
          <w:numId w:val="2"/>
        </w:numPr>
        <w:spacing w:line="400" w:lineRule="exact"/>
        <w:ind w:firstLineChars="0"/>
        <w:rPr>
          <w:rFonts w:ascii="仿宋" w:hAnsi="仿宋" w:eastAsia="仿宋" w:cs="仿宋"/>
          <w:sz w:val="24"/>
          <w:szCs w:val="21"/>
        </w:rPr>
      </w:pPr>
      <w:r>
        <w:rPr>
          <w:rFonts w:hint="eastAsia" w:ascii="仿宋" w:hAnsi="仿宋" w:eastAsia="仿宋" w:cs="仿宋"/>
          <w:sz w:val="24"/>
          <w:szCs w:val="21"/>
        </w:rPr>
        <w:t>有效法人营业执照</w:t>
      </w:r>
    </w:p>
    <w:p>
      <w:pPr>
        <w:pStyle w:val="2"/>
        <w:numPr>
          <w:ilvl w:val="1"/>
          <w:numId w:val="2"/>
        </w:numPr>
      </w:pPr>
      <w:r>
        <w:rPr>
          <w:rFonts w:hint="eastAsia" w:ascii="仿宋" w:hAnsi="仿宋" w:eastAsia="仿宋" w:cs="仿宋"/>
        </w:rPr>
        <w:t>具有良好的商业信誉和健全的财务会计制度（提供2018年-2020年度财务报表）</w:t>
      </w:r>
    </w:p>
    <w:p>
      <w:pPr>
        <w:pStyle w:val="2"/>
        <w:numPr>
          <w:ilvl w:val="1"/>
          <w:numId w:val="2"/>
        </w:numPr>
      </w:pPr>
      <w:r>
        <w:rPr>
          <w:rFonts w:hint="eastAsia" w:ascii="仿宋" w:hAnsi="仿宋" w:eastAsia="仿宋" w:cs="仿宋"/>
        </w:rPr>
        <w:t>有依法缴纳税收和社会保障资金的良好记录</w:t>
      </w:r>
    </w:p>
    <w:p>
      <w:pPr>
        <w:pStyle w:val="2"/>
        <w:numPr>
          <w:ilvl w:val="1"/>
          <w:numId w:val="2"/>
        </w:numPr>
      </w:pPr>
      <w:r>
        <w:rPr>
          <w:rFonts w:hint="eastAsia" w:ascii="仿宋" w:hAnsi="仿宋" w:eastAsia="仿宋" w:cs="仿宋"/>
        </w:rPr>
        <w:t>具有履行合同所必需的设备和专业技术能力（提供设备的清单以及技术人员的名单材料或自行做出承诺说明）</w:t>
      </w:r>
    </w:p>
    <w:p>
      <w:pPr>
        <w:pStyle w:val="2"/>
        <w:numPr>
          <w:ilvl w:val="1"/>
          <w:numId w:val="2"/>
        </w:numPr>
      </w:pPr>
      <w:r>
        <w:rPr>
          <w:rFonts w:hint="eastAsia" w:ascii="仿宋" w:hAnsi="仿宋" w:eastAsia="仿宋" w:cs="仿宋"/>
          <w:szCs w:val="21"/>
        </w:rPr>
        <w:t>信用查询记录</w:t>
      </w:r>
    </w:p>
    <w:p>
      <w:pPr>
        <w:pStyle w:val="2"/>
        <w:numPr>
          <w:ilvl w:val="1"/>
          <w:numId w:val="2"/>
        </w:numPr>
      </w:pPr>
      <w:r>
        <w:rPr>
          <w:rFonts w:hint="eastAsia" w:ascii="仿宋" w:hAnsi="仿宋" w:eastAsia="仿宋" w:cs="仿宋"/>
          <w:szCs w:val="21"/>
        </w:rPr>
        <w:t>招标文件中要求的其他资格证明文件（含评标标准中要求的其他证明材料复印件）</w:t>
      </w:r>
    </w:p>
    <w:p>
      <w:pPr>
        <w:ind w:firstLine="210" w:firstLineChars="100"/>
        <w:rPr>
          <w:rFonts w:ascii="仿宋" w:hAnsi="仿宋" w:eastAsia="仿宋" w:cs="仿宋"/>
          <w:szCs w:val="21"/>
        </w:rPr>
      </w:pPr>
      <w:r>
        <w:rPr>
          <w:rFonts w:hint="eastAsia" w:ascii="仿宋" w:hAnsi="仿宋" w:eastAsia="仿宋" w:cs="仿宋"/>
          <w:szCs w:val="21"/>
        </w:rPr>
        <w:t>（格式自拟）</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rFonts w:hint="eastAsia" w:ascii="仿宋" w:hAnsi="仿宋" w:eastAsia="仿宋" w:cs="仿宋"/>
          <w:b/>
          <w:bCs/>
          <w:szCs w:val="21"/>
          <w:lang w:val="en-US" w:eastAsia="zh-CN"/>
        </w:rPr>
      </w:pPr>
    </w:p>
    <w:p>
      <w:pPr>
        <w:jc w:val="center"/>
        <w:rPr>
          <w:rFonts w:hint="eastAsia" w:ascii="仿宋" w:hAnsi="仿宋" w:eastAsia="仿宋" w:cs="仿宋"/>
          <w:b/>
          <w:bCs/>
          <w:szCs w:val="21"/>
          <w:lang w:val="en-US" w:eastAsia="zh-CN"/>
        </w:rPr>
      </w:pPr>
    </w:p>
    <w:p>
      <w:pPr>
        <w:jc w:val="center"/>
        <w:rPr>
          <w:rFonts w:ascii="仿宋" w:hAnsi="仿宋" w:eastAsia="仿宋" w:cs="仿宋"/>
          <w:b/>
          <w:bCs/>
          <w:szCs w:val="21"/>
        </w:rPr>
      </w:pPr>
      <w:r>
        <w:rPr>
          <w:rFonts w:hint="eastAsia" w:ascii="仿宋" w:hAnsi="仿宋" w:eastAsia="仿宋" w:cs="仿宋"/>
          <w:b/>
          <w:bCs/>
          <w:szCs w:val="21"/>
          <w:lang w:val="en-US" w:eastAsia="zh-CN"/>
        </w:rPr>
        <w:t>6</w:t>
      </w:r>
      <w:r>
        <w:rPr>
          <w:rFonts w:hint="eastAsia" w:ascii="仿宋" w:hAnsi="仿宋" w:eastAsia="仿宋" w:cs="仿宋"/>
          <w:b/>
          <w:bCs/>
          <w:szCs w:val="21"/>
        </w:rPr>
        <w:t>、类似业绩（以提供合同复印件为准）</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3464"/>
        <w:gridCol w:w="245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813" w:type="dxa"/>
            <w:vAlign w:val="center"/>
          </w:tcPr>
          <w:p>
            <w:pPr>
              <w:spacing w:line="360" w:lineRule="auto"/>
              <w:jc w:val="center"/>
              <w:rPr>
                <w:rFonts w:ascii="仿宋" w:hAnsi="仿宋" w:eastAsia="仿宋" w:cs="仿宋"/>
              </w:rPr>
            </w:pPr>
            <w:r>
              <w:rPr>
                <w:rFonts w:hint="eastAsia" w:ascii="仿宋" w:hAnsi="仿宋" w:eastAsia="仿宋" w:cs="仿宋"/>
              </w:rPr>
              <w:t>序号</w:t>
            </w:r>
          </w:p>
        </w:tc>
        <w:tc>
          <w:tcPr>
            <w:tcW w:w="3464" w:type="dxa"/>
            <w:vAlign w:val="center"/>
          </w:tcPr>
          <w:p>
            <w:pPr>
              <w:spacing w:line="360" w:lineRule="auto"/>
              <w:jc w:val="center"/>
              <w:rPr>
                <w:rFonts w:ascii="仿宋" w:hAnsi="仿宋" w:eastAsia="仿宋" w:cs="仿宋"/>
              </w:rPr>
            </w:pPr>
            <w:r>
              <w:rPr>
                <w:rFonts w:hint="eastAsia" w:ascii="仿宋" w:hAnsi="仿宋" w:eastAsia="仿宋" w:cs="仿宋"/>
              </w:rPr>
              <w:t>项目名称</w:t>
            </w:r>
          </w:p>
        </w:tc>
        <w:tc>
          <w:tcPr>
            <w:tcW w:w="2450" w:type="dxa"/>
            <w:vAlign w:val="center"/>
          </w:tcPr>
          <w:p>
            <w:pPr>
              <w:spacing w:line="360" w:lineRule="auto"/>
              <w:jc w:val="center"/>
              <w:rPr>
                <w:rFonts w:ascii="仿宋" w:hAnsi="仿宋" w:eastAsia="仿宋" w:cs="仿宋"/>
              </w:rPr>
            </w:pPr>
            <w:r>
              <w:rPr>
                <w:rFonts w:hint="eastAsia" w:ascii="仿宋" w:hAnsi="仿宋" w:eastAsia="仿宋" w:cs="仿宋"/>
              </w:rPr>
              <w:t>采购内容</w:t>
            </w:r>
          </w:p>
        </w:tc>
        <w:tc>
          <w:tcPr>
            <w:tcW w:w="1559" w:type="dxa"/>
            <w:vAlign w:val="center"/>
          </w:tcPr>
          <w:p>
            <w:pPr>
              <w:spacing w:line="360" w:lineRule="auto"/>
              <w:jc w:val="center"/>
              <w:rPr>
                <w:rFonts w:ascii="仿宋" w:hAnsi="仿宋" w:eastAsia="仿宋" w:cs="仿宋"/>
              </w:rPr>
            </w:pPr>
            <w:r>
              <w:rPr>
                <w:rFonts w:hint="eastAsia" w:ascii="仿宋" w:hAnsi="仿宋" w:eastAsia="仿宋" w:cs="仿宋"/>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813" w:type="dxa"/>
            <w:vAlign w:val="center"/>
          </w:tcPr>
          <w:p>
            <w:pPr>
              <w:spacing w:line="360" w:lineRule="auto"/>
              <w:jc w:val="center"/>
              <w:rPr>
                <w:rFonts w:ascii="仿宋" w:hAnsi="仿宋" w:eastAsia="仿宋" w:cs="仿宋"/>
              </w:rPr>
            </w:pPr>
          </w:p>
        </w:tc>
        <w:tc>
          <w:tcPr>
            <w:tcW w:w="3464"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2450"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c>
          <w:tcPr>
            <w:tcW w:w="1559" w:type="dxa"/>
            <w:vAlign w:val="center"/>
          </w:tcPr>
          <w:p>
            <w:pPr>
              <w:widowControl/>
              <w:jc w:val="center"/>
              <w:rPr>
                <w:rFonts w:ascii="仿宋" w:hAnsi="仿宋" w:eastAsia="仿宋" w:cs="仿宋"/>
              </w:rPr>
            </w:pPr>
          </w:p>
          <w:p>
            <w:pPr>
              <w:spacing w:line="360" w:lineRule="auto"/>
              <w:jc w:val="center"/>
              <w:rPr>
                <w:rFonts w:ascii="仿宋" w:hAnsi="仿宋" w:eastAsia="仿宋" w:cs="仿宋"/>
              </w:rPr>
            </w:pPr>
          </w:p>
        </w:tc>
      </w:tr>
    </w:tbl>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r>
        <w:rPr>
          <w:rFonts w:hint="eastAsia" w:ascii="仿宋" w:hAnsi="仿宋" w:eastAsia="仿宋" w:cs="仿宋"/>
        </w:rPr>
        <w:t>（后附合同复印件）</w:t>
      </w:r>
    </w:p>
    <w:p>
      <w:pPr>
        <w:rPr>
          <w:rFonts w:ascii="仿宋" w:hAnsi="仿宋" w:eastAsia="仿宋" w:cs="仿宋"/>
          <w:szCs w:val="21"/>
        </w:rPr>
      </w:pPr>
    </w:p>
    <w:p>
      <w:pPr>
        <w:pStyle w:val="39"/>
        <w:ind w:left="465" w:firstLine="0" w:firstLineChars="0"/>
        <w:jc w:val="center"/>
        <w:rPr>
          <w:rFonts w:ascii="仿宋" w:hAnsi="仿宋" w:eastAsia="仿宋" w:cs="仿宋"/>
        </w:rPr>
      </w:pPr>
      <w:r>
        <w:rPr>
          <w:rFonts w:hint="eastAsia" w:ascii="仿宋" w:hAnsi="仿宋" w:eastAsia="仿宋" w:cs="仿宋"/>
          <w:b/>
          <w:bCs/>
          <w:szCs w:val="21"/>
        </w:rPr>
        <w:br w:type="page"/>
      </w:r>
      <w:bookmarkEnd w:id="148"/>
      <w:bookmarkEnd w:id="149"/>
      <w:bookmarkEnd w:id="150"/>
      <w:bookmarkEnd w:id="151"/>
      <w:bookmarkEnd w:id="152"/>
      <w:bookmarkEnd w:id="153"/>
      <w:bookmarkEnd w:id="154"/>
      <w:bookmarkEnd w:id="155"/>
      <w:bookmarkEnd w:id="156"/>
      <w:bookmarkEnd w:id="157"/>
      <w:bookmarkStart w:id="158" w:name="_Toc48791237"/>
      <w:bookmarkStart w:id="159" w:name="_Toc47261692"/>
      <w:bookmarkStart w:id="160" w:name="_Toc48995853"/>
      <w:bookmarkStart w:id="161" w:name="_Toc47418257"/>
      <w:bookmarkStart w:id="162" w:name="_Toc47261887"/>
      <w:bookmarkStart w:id="163" w:name="_Toc47418940"/>
      <w:bookmarkStart w:id="164" w:name="_Toc47262071"/>
      <w:bookmarkStart w:id="165" w:name="_Toc49019238"/>
      <w:bookmarkStart w:id="166" w:name="_Toc47418733"/>
      <w:r>
        <w:rPr>
          <w:rFonts w:hint="eastAsia" w:ascii="仿宋" w:hAnsi="仿宋" w:eastAsia="仿宋" w:cs="仿宋"/>
          <w:b/>
          <w:bCs/>
          <w:szCs w:val="21"/>
          <w:lang w:val="en-US" w:eastAsia="zh-CN"/>
        </w:rPr>
        <w:t>7</w:t>
      </w:r>
      <w:r>
        <w:rPr>
          <w:rFonts w:hint="eastAsia" w:ascii="仿宋" w:hAnsi="仿宋" w:eastAsia="仿宋" w:cs="仿宋"/>
          <w:b/>
          <w:bCs/>
          <w:szCs w:val="21"/>
        </w:rPr>
        <w:t>、技术部分</w:t>
      </w:r>
    </w:p>
    <w:p>
      <w:pPr>
        <w:spacing w:line="400" w:lineRule="exact"/>
        <w:jc w:val="center"/>
        <w:rPr>
          <w:rFonts w:ascii="仿宋" w:hAnsi="仿宋" w:eastAsia="仿宋" w:cs="仿宋"/>
          <w:sz w:val="24"/>
          <w:szCs w:val="21"/>
        </w:rPr>
      </w:pPr>
      <w:r>
        <w:rPr>
          <w:rFonts w:hint="eastAsia" w:ascii="仿宋" w:hAnsi="仿宋" w:eastAsia="仿宋" w:cs="仿宋"/>
          <w:sz w:val="24"/>
          <w:szCs w:val="21"/>
        </w:rPr>
        <w:t>（包含不限于）</w:t>
      </w:r>
    </w:p>
    <w:p>
      <w:pPr>
        <w:pStyle w:val="2"/>
        <w:rPr>
          <w:rFonts w:ascii="仿宋" w:hAnsi="仿宋" w:eastAsia="仿宋" w:cs="仿宋"/>
          <w:color w:val="auto"/>
          <w:kern w:val="2"/>
          <w:szCs w:val="21"/>
        </w:rPr>
      </w:pPr>
      <w:r>
        <w:rPr>
          <w:rFonts w:hint="eastAsia" w:ascii="仿宋" w:hAnsi="仿宋" w:eastAsia="仿宋" w:cs="仿宋"/>
          <w:color w:val="auto"/>
          <w:kern w:val="2"/>
          <w:szCs w:val="21"/>
        </w:rPr>
        <w:t>1、项目实施方案（格式自拟）</w:t>
      </w:r>
    </w:p>
    <w:p>
      <w:pPr>
        <w:spacing w:line="400" w:lineRule="exact"/>
        <w:rPr>
          <w:rFonts w:ascii="仿宋" w:hAnsi="仿宋" w:eastAsia="仿宋" w:cs="仿宋"/>
          <w:sz w:val="24"/>
          <w:szCs w:val="21"/>
        </w:rPr>
      </w:pPr>
      <w:r>
        <w:rPr>
          <w:rFonts w:hint="eastAsia" w:ascii="仿宋" w:hAnsi="仿宋" w:eastAsia="仿宋" w:cs="仿宋"/>
          <w:sz w:val="24"/>
          <w:szCs w:val="21"/>
        </w:rPr>
        <w:t>2、售后服务方案（格式自拟）</w:t>
      </w:r>
    </w:p>
    <w:bookmarkEnd w:id="158"/>
    <w:bookmarkEnd w:id="159"/>
    <w:bookmarkEnd w:id="160"/>
    <w:bookmarkEnd w:id="161"/>
    <w:bookmarkEnd w:id="162"/>
    <w:bookmarkEnd w:id="163"/>
    <w:bookmarkEnd w:id="164"/>
    <w:bookmarkEnd w:id="165"/>
    <w:bookmarkEnd w:id="166"/>
    <w:p>
      <w:pPr>
        <w:spacing w:line="360" w:lineRule="auto"/>
        <w:jc w:val="center"/>
        <w:rPr>
          <w:rFonts w:ascii="仿宋" w:hAnsi="仿宋" w:eastAsia="仿宋" w:cs="仿宋"/>
          <w:sz w:val="24"/>
          <w:szCs w:val="21"/>
        </w:rPr>
      </w:pPr>
      <w:bookmarkStart w:id="167" w:name="_Toc453490053"/>
      <w:bookmarkStart w:id="168" w:name="_Toc47415947"/>
      <w:bookmarkStart w:id="169" w:name="_Toc49019240"/>
      <w:bookmarkStart w:id="170" w:name="_Toc47416201"/>
      <w:bookmarkStart w:id="171" w:name="_Toc453587174"/>
      <w:bookmarkStart w:id="172" w:name="_Toc6595"/>
    </w:p>
    <w:p>
      <w:pPr>
        <w:spacing w:line="360" w:lineRule="auto"/>
        <w:jc w:val="center"/>
        <w:rPr>
          <w:rFonts w:ascii="仿宋" w:hAnsi="仿宋" w:eastAsia="仿宋" w:cs="仿宋"/>
          <w:sz w:val="24"/>
          <w:szCs w:val="21"/>
        </w:rPr>
      </w:pPr>
      <w:r>
        <w:rPr>
          <w:rFonts w:hint="eastAsia" w:ascii="仿宋" w:hAnsi="仿宋" w:eastAsia="仿宋" w:cs="仿宋"/>
          <w:sz w:val="24"/>
          <w:szCs w:val="21"/>
        </w:rPr>
        <w:t>（技术部分内容不得超过</w:t>
      </w:r>
      <w:r>
        <w:rPr>
          <w:rFonts w:hint="eastAsia" w:ascii="仿宋" w:hAnsi="仿宋" w:eastAsia="仿宋" w:cs="仿宋"/>
          <w:sz w:val="24"/>
          <w:szCs w:val="21"/>
          <w:lang w:val="en-US" w:eastAsia="zh-CN"/>
        </w:rPr>
        <w:t>2</w:t>
      </w:r>
      <w:r>
        <w:rPr>
          <w:rFonts w:hint="eastAsia" w:ascii="仿宋" w:hAnsi="仿宋" w:eastAsia="仿宋" w:cs="仿宋"/>
          <w:sz w:val="24"/>
          <w:szCs w:val="21"/>
        </w:rPr>
        <w:t>00页（含</w:t>
      </w:r>
      <w:r>
        <w:rPr>
          <w:rFonts w:hint="eastAsia" w:ascii="仿宋" w:hAnsi="仿宋" w:eastAsia="仿宋" w:cs="仿宋"/>
          <w:sz w:val="24"/>
          <w:szCs w:val="21"/>
          <w:lang w:val="en-US" w:eastAsia="zh-CN"/>
        </w:rPr>
        <w:t>2</w:t>
      </w:r>
      <w:r>
        <w:rPr>
          <w:rFonts w:hint="eastAsia" w:ascii="仿宋" w:hAnsi="仿宋" w:eastAsia="仿宋" w:cs="仿宋"/>
          <w:sz w:val="24"/>
          <w:szCs w:val="21"/>
        </w:rPr>
        <w:t>00页）,超出</w:t>
      </w:r>
      <w:r>
        <w:rPr>
          <w:rFonts w:hint="eastAsia" w:ascii="仿宋" w:hAnsi="仿宋" w:eastAsia="仿宋" w:cs="仿宋"/>
          <w:sz w:val="24"/>
          <w:szCs w:val="21"/>
          <w:lang w:val="en-US" w:eastAsia="zh-CN"/>
        </w:rPr>
        <w:t>2</w:t>
      </w:r>
      <w:r>
        <w:rPr>
          <w:rFonts w:hint="eastAsia" w:ascii="仿宋" w:hAnsi="仿宋" w:eastAsia="仿宋" w:cs="仿宋"/>
          <w:sz w:val="24"/>
          <w:szCs w:val="21"/>
        </w:rPr>
        <w:t>00页按零分处理。）</w:t>
      </w:r>
    </w:p>
    <w:p>
      <w:pPr>
        <w:spacing w:line="360" w:lineRule="auto"/>
        <w:jc w:val="center"/>
        <w:rPr>
          <w:rFonts w:ascii="仿宋" w:hAnsi="仿宋" w:eastAsia="仿宋" w:cs="仿宋"/>
          <w:sz w:val="24"/>
          <w:szCs w:val="21"/>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spacing w:line="360" w:lineRule="auto"/>
        <w:jc w:val="center"/>
        <w:rPr>
          <w:rFonts w:ascii="仿宋" w:hAnsi="仿宋" w:eastAsia="仿宋" w:cs="仿宋"/>
          <w:b/>
          <w:bCs/>
          <w:sz w:val="24"/>
        </w:rPr>
      </w:pPr>
    </w:p>
    <w:p>
      <w:pPr>
        <w:pStyle w:val="39"/>
        <w:ind w:left="465" w:firstLine="0" w:firstLineChars="0"/>
        <w:jc w:val="center"/>
        <w:rPr>
          <w:rFonts w:ascii="仿宋" w:hAnsi="仿宋" w:eastAsia="仿宋" w:cs="仿宋"/>
          <w:b/>
          <w:bCs/>
          <w:szCs w:val="21"/>
        </w:rPr>
      </w:pPr>
      <w:r>
        <w:rPr>
          <w:rFonts w:hint="eastAsia" w:ascii="仿宋" w:hAnsi="仿宋" w:eastAsia="仿宋" w:cs="仿宋"/>
          <w:b/>
          <w:bCs/>
          <w:szCs w:val="21"/>
          <w:lang w:val="en-US" w:eastAsia="zh-CN"/>
        </w:rPr>
        <w:t>8</w:t>
      </w:r>
      <w:r>
        <w:rPr>
          <w:rFonts w:hint="eastAsia" w:ascii="仿宋" w:hAnsi="仿宋" w:eastAsia="仿宋" w:cs="仿宋"/>
          <w:b/>
          <w:bCs/>
          <w:szCs w:val="21"/>
        </w:rPr>
        <w:t>、其他材料</w:t>
      </w:r>
    </w:p>
    <w:p>
      <w:pPr>
        <w:pStyle w:val="39"/>
        <w:ind w:left="465" w:firstLine="0" w:firstLineChars="0"/>
        <w:jc w:val="center"/>
        <w:rPr>
          <w:rFonts w:ascii="仿宋" w:hAnsi="仿宋" w:eastAsia="仿宋" w:cs="仿宋"/>
        </w:rPr>
      </w:pPr>
      <w:r>
        <w:rPr>
          <w:rFonts w:hint="eastAsia" w:ascii="仿宋" w:hAnsi="仿宋" w:eastAsia="仿宋" w:cs="仿宋"/>
          <w:b/>
          <w:bCs/>
          <w:szCs w:val="21"/>
        </w:rPr>
        <w:t>（投标人认为需要提供的材料，格式自拟）</w:t>
      </w:r>
    </w:p>
    <w:p>
      <w:pPr>
        <w:spacing w:line="360" w:lineRule="auto"/>
        <w:jc w:val="center"/>
        <w:rPr>
          <w:rFonts w:ascii="仿宋" w:hAnsi="仿宋" w:eastAsia="仿宋" w:cs="仿宋"/>
          <w:bCs/>
          <w:sz w:val="24"/>
        </w:rPr>
      </w:pPr>
    </w:p>
    <w:p>
      <w:pPr>
        <w:spacing w:line="360" w:lineRule="auto"/>
        <w:jc w:val="center"/>
        <w:rPr>
          <w:rFonts w:ascii="仿宋" w:hAnsi="仿宋" w:eastAsia="仿宋" w:cs="仿宋"/>
          <w:b/>
          <w:bCs/>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bookmarkEnd w:id="167"/>
    <w:p>
      <w:pPr>
        <w:pStyle w:val="3"/>
        <w:jc w:val="center"/>
      </w:pPr>
      <w:bookmarkStart w:id="173" w:name="_Toc87205270"/>
      <w:bookmarkStart w:id="174" w:name="_Toc47364337"/>
      <w:r>
        <w:rPr>
          <w:rFonts w:hint="eastAsia"/>
        </w:rPr>
        <w:t xml:space="preserve">第六章 </w:t>
      </w:r>
      <w:bookmarkEnd w:id="168"/>
      <w:bookmarkEnd w:id="169"/>
      <w:bookmarkEnd w:id="170"/>
      <w:bookmarkEnd w:id="171"/>
      <w:r>
        <w:rPr>
          <w:rFonts w:hint="eastAsia"/>
        </w:rPr>
        <w:t>资格审查与评分标准</w:t>
      </w:r>
      <w:bookmarkEnd w:id="172"/>
      <w:bookmarkEnd w:id="173"/>
      <w:bookmarkEnd w:id="174"/>
    </w:p>
    <w:p>
      <w:pPr>
        <w:rPr>
          <w:rFonts w:ascii="仿宋" w:hAnsi="仿宋" w:eastAsia="仿宋" w:cs="仿宋"/>
          <w:b/>
          <w:kern w:val="0"/>
          <w:sz w:val="24"/>
        </w:rPr>
      </w:pPr>
      <w:r>
        <w:rPr>
          <w:rFonts w:hint="eastAsia" w:ascii="仿宋" w:hAnsi="仿宋" w:eastAsia="仿宋" w:cs="仿宋"/>
          <w:b/>
          <w:kern w:val="0"/>
          <w:sz w:val="24"/>
        </w:rPr>
        <w:t>1、初审表：</w:t>
      </w:r>
    </w:p>
    <w:tbl>
      <w:tblPr>
        <w:tblStyle w:val="3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9"/>
        <w:gridCol w:w="8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592" w:type="pct"/>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restart"/>
            <w:vAlign w:val="center"/>
          </w:tcPr>
          <w:p>
            <w:pPr>
              <w:spacing w:line="500" w:lineRule="exact"/>
              <w:jc w:val="center"/>
              <w:rPr>
                <w:rFonts w:ascii="仿宋" w:hAnsi="仿宋" w:eastAsia="仿宋" w:cs="仿宋"/>
                <w:sz w:val="22"/>
                <w:szCs w:val="22"/>
              </w:rPr>
            </w:pPr>
            <w:r>
              <w:rPr>
                <w:rFonts w:hint="eastAsia" w:ascii="仿宋" w:hAnsi="仿宋" w:eastAsia="仿宋" w:cs="仿宋"/>
                <w:sz w:val="22"/>
                <w:szCs w:val="22"/>
              </w:rPr>
              <w:t>资格审查</w:t>
            </w: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投标人应具备《中华人民共和国政府采购法》第二十二条规定的条件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投标人须具备</w:t>
            </w:r>
            <w:r>
              <w:rPr>
                <w:rFonts w:hint="eastAsia" w:ascii="仿宋" w:hAnsi="仿宋" w:eastAsia="仿宋" w:cs="仿宋"/>
                <w:sz w:val="24"/>
              </w:rPr>
              <w:t>具有独立承担民事责任的能力(提供法人或者其他组织的营业执照等证明文件,自然人的身份证明)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具有良好的商业信誉和健全的财务会计制度（提供2018年-2020年度财务报表；投标人为2020年1月1日以后成立的，可提供近期的月或季度财务报表复印件）</w:t>
            </w:r>
            <w:r>
              <w:rPr>
                <w:rFonts w:hint="eastAsia" w:ascii="仿宋" w:hAnsi="仿宋" w:eastAsia="仿宋" w:cs="仿宋"/>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有依法缴纳税收和社会保障资金的良好记录（提供近半年至今任意一个月缴纳税收和社会保险的凭证复印件。如依法免税或不需要缴纳社会保障资金的，应提供相应文件证明复印件)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4"/>
              </w:rPr>
              <w:t>具有履行合同所必需的设备和专业技术能力（提供设备的清单以及技术人员的名单材料或自行做出承诺说明）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4"/>
              </w:rPr>
            </w:pPr>
            <w:r>
              <w:rPr>
                <w:rFonts w:hint="eastAsia" w:ascii="仿宋" w:hAnsi="仿宋" w:eastAsia="仿宋" w:cs="仿宋"/>
                <w:sz w:val="24"/>
              </w:rPr>
              <w:t>投标人在“信用中国”网（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对招标文件中关键、主要货物的报价没有漏项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投标文件完整且编排有序，内容无重大错漏，并按要求签署、盖章；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对合同履行期限是否响应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592" w:type="pct"/>
            <w:vMerge w:val="continue"/>
            <w:vAlign w:val="center"/>
          </w:tcPr>
          <w:p>
            <w:pPr>
              <w:spacing w:line="500" w:lineRule="exact"/>
              <w:jc w:val="center"/>
              <w:rPr>
                <w:rFonts w:ascii="仿宋" w:hAnsi="仿宋" w:eastAsia="仿宋" w:cs="仿宋"/>
                <w:sz w:val="22"/>
                <w:szCs w:val="22"/>
              </w:rPr>
            </w:pPr>
          </w:p>
        </w:tc>
        <w:tc>
          <w:tcPr>
            <w:tcW w:w="4407" w:type="pct"/>
            <w:vAlign w:val="center"/>
          </w:tcPr>
          <w:p>
            <w:pPr>
              <w:spacing w:line="500" w:lineRule="exact"/>
              <w:rPr>
                <w:rFonts w:ascii="仿宋" w:hAnsi="仿宋" w:eastAsia="仿宋" w:cs="仿宋"/>
                <w:sz w:val="22"/>
                <w:szCs w:val="22"/>
              </w:rPr>
            </w:pPr>
            <w:r>
              <w:rPr>
                <w:rFonts w:hint="eastAsia" w:ascii="仿宋" w:hAnsi="仿宋" w:eastAsia="仿宋" w:cs="仿宋"/>
                <w:sz w:val="22"/>
                <w:szCs w:val="22"/>
              </w:rPr>
              <w:t>投标人是否有其他违反国家法律、法规的行为，按有关法律、法规规定属于中标无效的。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000" w:type="pct"/>
            <w:gridSpan w:val="2"/>
            <w:vAlign w:val="center"/>
          </w:tcPr>
          <w:p>
            <w:pPr>
              <w:wordWrap w:val="0"/>
              <w:spacing w:line="500" w:lineRule="exact"/>
              <w:jc w:val="left"/>
              <w:rPr>
                <w:rFonts w:ascii="仿宋" w:hAnsi="仿宋" w:eastAsia="仿宋" w:cs="仿宋"/>
                <w:sz w:val="20"/>
                <w:szCs w:val="22"/>
              </w:rPr>
            </w:pPr>
            <w:r>
              <w:rPr>
                <w:rFonts w:hint="eastAsia" w:ascii="仿宋" w:hAnsi="仿宋" w:eastAsia="仿宋" w:cs="仿宋"/>
                <w:sz w:val="22"/>
                <w:szCs w:val="28"/>
              </w:rPr>
              <w:t>注：投标人须提供上述各项资料，且所提供的资料满足招标文件要求，有任意一项未提交或不满足的，经评标委员会半数以上成员一致同意，其投标将被按照无效投标处理，经评标委员会认定的无效投标文件不得进入详细评审。</w:t>
            </w:r>
          </w:p>
        </w:tc>
      </w:tr>
    </w:tbl>
    <w:p>
      <w:pPr>
        <w:rPr>
          <w:rFonts w:ascii="仿宋" w:hAnsi="仿宋" w:eastAsia="仿宋" w:cs="仿宋"/>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p>
    <w:p>
      <w:pPr>
        <w:pStyle w:val="13"/>
        <w:rPr>
          <w:rFonts w:ascii="仿宋" w:hAnsi="仿宋" w:eastAsia="仿宋" w:cs="仿宋"/>
          <w:b/>
          <w:bCs/>
        </w:rPr>
      </w:pPr>
      <w:r>
        <w:rPr>
          <w:rFonts w:hint="eastAsia" w:ascii="仿宋" w:hAnsi="仿宋" w:eastAsia="仿宋" w:cs="仿宋"/>
          <w:b/>
          <w:bCs/>
        </w:rPr>
        <w:t>2、评分标准：</w:t>
      </w:r>
    </w:p>
    <w:p>
      <w:pPr>
        <w:ind w:firstLine="2352" w:firstLineChars="980"/>
        <w:rPr>
          <w:rFonts w:ascii="宋体" w:hAnsi="宋体"/>
          <w:b/>
          <w:sz w:val="24"/>
          <w:u w:val="single"/>
        </w:rPr>
      </w:pPr>
      <w:r>
        <w:rPr>
          <w:rFonts w:hint="eastAsia" w:ascii="宋体" w:hAnsi="宋体"/>
          <w:sz w:val="24"/>
        </w:rPr>
        <w:t>评标采取</w:t>
      </w:r>
      <w:r>
        <w:rPr>
          <w:rFonts w:hint="eastAsia" w:ascii="宋体" w:hAnsi="宋体"/>
          <w:b/>
          <w:sz w:val="24"/>
          <w:u w:val="single"/>
        </w:rPr>
        <w:t>综合评分法</w:t>
      </w:r>
    </w:p>
    <w:tbl>
      <w:tblPr>
        <w:tblStyle w:val="30"/>
        <w:tblW w:w="9652" w:type="dxa"/>
        <w:tblInd w:w="-74" w:type="dxa"/>
        <w:tblLayout w:type="fixed"/>
        <w:tblCellMar>
          <w:top w:w="0" w:type="dxa"/>
          <w:left w:w="108" w:type="dxa"/>
          <w:bottom w:w="0" w:type="dxa"/>
          <w:right w:w="108" w:type="dxa"/>
        </w:tblCellMar>
      </w:tblPr>
      <w:tblGrid>
        <w:gridCol w:w="506"/>
        <w:gridCol w:w="1264"/>
        <w:gridCol w:w="709"/>
        <w:gridCol w:w="7173"/>
      </w:tblGrid>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序号</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评标项目</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权重</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评标办法</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一</w:t>
            </w:r>
          </w:p>
        </w:tc>
        <w:tc>
          <w:tcPr>
            <w:tcW w:w="1264"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报价</w:t>
            </w:r>
          </w:p>
        </w:tc>
        <w:tc>
          <w:tcPr>
            <w:tcW w:w="709"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0分</w:t>
            </w:r>
          </w:p>
        </w:tc>
        <w:tc>
          <w:tcPr>
            <w:tcW w:w="7173" w:type="dxa"/>
            <w:tcBorders>
              <w:top w:val="single" w:color="auto" w:sz="4" w:space="0"/>
              <w:left w:val="nil"/>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rPr>
              <w:t>根据财政部《财库2007（2）》文件，综合评分法中的价格分统一采用各投标单位投标报价最低者优先法计算，即满足招标文件要求且投标报价最低者的比例为评标基准价，其价格分为满分</w:t>
            </w:r>
            <w:r>
              <w:rPr>
                <w:rFonts w:hint="eastAsia" w:ascii="宋体" w:hAnsi="宋体" w:cs="宋体"/>
                <w:kern w:val="0"/>
                <w:sz w:val="24"/>
                <w:lang w:eastAsia="zh-CN"/>
              </w:rPr>
              <w:t>。</w:t>
            </w:r>
          </w:p>
          <w:p>
            <w:pPr>
              <w:widowControl/>
              <w:spacing w:line="400" w:lineRule="exact"/>
              <w:jc w:val="left"/>
              <w:rPr>
                <w:rFonts w:ascii="宋体" w:hAnsi="宋体" w:cs="宋体"/>
                <w:kern w:val="0"/>
                <w:sz w:val="24"/>
              </w:rPr>
            </w:pP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Cs w:val="21"/>
              </w:rPr>
              <w:t>技术部分</w:t>
            </w:r>
            <w:r>
              <w:rPr>
                <w:rFonts w:hint="eastAsia" w:ascii="宋体" w:hAnsi="宋体" w:cs="宋体"/>
                <w:kern w:val="0"/>
                <w:sz w:val="24"/>
              </w:rPr>
              <w:t>（</w:t>
            </w:r>
            <w:r>
              <w:rPr>
                <w:rFonts w:hint="eastAsia" w:ascii="宋体" w:hAnsi="宋体" w:cs="宋体"/>
                <w:kern w:val="0"/>
                <w:sz w:val="24"/>
                <w:lang w:val="en-US" w:eastAsia="zh-CN"/>
              </w:rPr>
              <w:t>6</w:t>
            </w:r>
            <w:r>
              <w:rPr>
                <w:rFonts w:hint="eastAsia" w:ascii="宋体" w:hAnsi="宋体" w:cs="宋体"/>
                <w:kern w:val="0"/>
                <w:sz w:val="24"/>
              </w:rPr>
              <w:t>5分）</w:t>
            </w:r>
          </w:p>
        </w:tc>
      </w:tr>
      <w:tr>
        <w:tblPrEx>
          <w:tblCellMar>
            <w:top w:w="0" w:type="dxa"/>
            <w:left w:w="108" w:type="dxa"/>
            <w:bottom w:w="0" w:type="dxa"/>
            <w:right w:w="108" w:type="dxa"/>
          </w:tblCellMar>
        </w:tblPrEx>
        <w:trPr>
          <w:trHeight w:val="693" w:hRule="atLeast"/>
        </w:trPr>
        <w:tc>
          <w:tcPr>
            <w:tcW w:w="506" w:type="dxa"/>
            <w:tcBorders>
              <w:top w:val="single" w:color="auto" w:sz="4" w:space="0"/>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126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项目实施方案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lang w:val="en-US" w:eastAsia="zh-CN"/>
              </w:rPr>
              <w:t>5</w:t>
            </w:r>
            <w:r>
              <w:rPr>
                <w:rFonts w:hint="eastAsia" w:ascii="宋体" w:hAnsi="宋体" w:cs="宋体"/>
                <w:kern w:val="0"/>
                <w:sz w:val="24"/>
              </w:rPr>
              <w:t>0</w:t>
            </w:r>
          </w:p>
        </w:tc>
        <w:tc>
          <w:tcPr>
            <w:tcW w:w="7173" w:type="dxa"/>
            <w:tcBorders>
              <w:top w:val="nil"/>
              <w:left w:val="nil"/>
              <w:bottom w:val="single" w:color="auto" w:sz="4" w:space="0"/>
              <w:right w:val="single" w:color="auto" w:sz="8" w:space="0"/>
            </w:tcBorders>
            <w:vAlign w:val="center"/>
          </w:tcPr>
          <w:p>
            <w:pPr>
              <w:snapToGrid w:val="0"/>
              <w:jc w:val="left"/>
              <w:rPr>
                <w:rFonts w:ascii="宋体" w:hAnsi="宋体" w:cs="宋体"/>
                <w:kern w:val="0"/>
                <w:sz w:val="24"/>
              </w:rPr>
            </w:pPr>
            <w:r>
              <w:rPr>
                <w:rFonts w:hint="eastAsia" w:ascii="宋体" w:hAnsi="宋体" w:cs="宋体"/>
                <w:kern w:val="0"/>
                <w:sz w:val="24"/>
              </w:rPr>
              <w:t>根据投标人的项目实施方案进行评定。</w:t>
            </w:r>
          </w:p>
          <w:p>
            <w:pPr>
              <w:snapToGrid w:val="0"/>
              <w:jc w:val="left"/>
              <w:rPr>
                <w:rFonts w:ascii="宋体" w:hAnsi="宋体" w:cs="宋体"/>
                <w:kern w:val="0"/>
                <w:sz w:val="24"/>
              </w:rPr>
            </w:pPr>
            <w:r>
              <w:rPr>
                <w:rFonts w:hint="eastAsia" w:ascii="宋体" w:hAnsi="宋体" w:cs="宋体"/>
                <w:kern w:val="0"/>
                <w:sz w:val="24"/>
              </w:rPr>
              <w:t>包括但不限于投标人提供的交货时间响应措施、供货进度计划、运输保障措施、货源采购组织措施、配送保障措施、人员组织方案、</w:t>
            </w:r>
            <w:r>
              <w:rPr>
                <w:rFonts w:hint="eastAsia" w:ascii="宋体" w:hAnsi="宋体" w:cs="宋体"/>
                <w:kern w:val="0"/>
                <w:sz w:val="24"/>
                <w:lang w:val="en-US" w:eastAsia="zh-CN"/>
              </w:rPr>
              <w:t>效期、是否备货、新医用耗材临川优势、</w:t>
            </w:r>
            <w:r>
              <w:rPr>
                <w:rFonts w:hint="eastAsia" w:ascii="宋体" w:hAnsi="宋体" w:cs="宋体"/>
                <w:kern w:val="0"/>
                <w:sz w:val="24"/>
              </w:rPr>
              <w:t>安全应急预案、运输配送应急预案、疫情防扩措施、服务过程中与相关单位的配合方式及组织协调方案等方面进行综合评分，完全满足招标文件要求并且切实可行的得</w:t>
            </w:r>
            <w:r>
              <w:rPr>
                <w:rFonts w:hint="eastAsia" w:ascii="宋体" w:hAnsi="宋体" w:cs="宋体"/>
                <w:kern w:val="0"/>
                <w:sz w:val="24"/>
                <w:lang w:val="en-US" w:eastAsia="zh-CN"/>
              </w:rPr>
              <w:t>5</w:t>
            </w:r>
            <w:r>
              <w:rPr>
                <w:rFonts w:hint="eastAsia" w:ascii="宋体" w:hAnsi="宋体" w:cs="宋体"/>
                <w:kern w:val="0"/>
                <w:sz w:val="24"/>
              </w:rPr>
              <w:t>0分，每缺少一项扣4分，每有一项不能满足招标文件需求的扣2分，直至本项分值扣完为止。</w:t>
            </w:r>
          </w:p>
          <w:p>
            <w:pPr>
              <w:widowControl/>
              <w:rPr>
                <w:rFonts w:ascii="宋体" w:hAnsi="宋体" w:cs="宋体"/>
                <w:kern w:val="0"/>
                <w:sz w:val="24"/>
              </w:rPr>
            </w:pPr>
            <w:r>
              <w:rPr>
                <w:rFonts w:hint="eastAsia" w:ascii="宋体" w:hAnsi="宋体" w:cs="宋体"/>
                <w:kern w:val="0"/>
                <w:sz w:val="24"/>
              </w:rPr>
              <w:t>投标人应根据采购需求提供合理可行的相关内容，由评标专家根据投标人提供项目实施方案的实际情况进行打分。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126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售后服务方案</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15</w:t>
            </w:r>
          </w:p>
        </w:tc>
        <w:tc>
          <w:tcPr>
            <w:tcW w:w="7173" w:type="dxa"/>
            <w:tcBorders>
              <w:top w:val="nil"/>
              <w:left w:val="nil"/>
              <w:bottom w:val="single" w:color="auto" w:sz="4" w:space="0"/>
              <w:right w:val="single" w:color="auto" w:sz="8" w:space="0"/>
            </w:tcBorders>
            <w:vAlign w:val="center"/>
          </w:tcPr>
          <w:p>
            <w:pPr>
              <w:widowControl/>
              <w:jc w:val="left"/>
              <w:rPr>
                <w:rFonts w:ascii="宋体" w:hAnsi="宋体" w:cs="宋体"/>
                <w:kern w:val="0"/>
                <w:sz w:val="24"/>
              </w:rPr>
            </w:pPr>
            <w:r>
              <w:rPr>
                <w:rFonts w:hint="eastAsia" w:ascii="宋体" w:hAnsi="宋体" w:cs="宋体"/>
                <w:kern w:val="0"/>
                <w:sz w:val="24"/>
              </w:rPr>
              <w:t xml:space="preserve">根据投标人的售后服务方案进行评定。包括但不限于售后服务点设置和咨询电话设置等情况、质量承诺和质量保障措施范围、售后服务保障体系、履行合同能力等方面进行综合评分。完全满足以上售后服务方案评定方面并且满足招标文件要求的得15分，每缺少一项扣3分，每有一项方案不能满足招标文件需求的扣1.5分，直至本项分值扣完为止。 </w:t>
            </w:r>
          </w:p>
          <w:p>
            <w:pPr>
              <w:widowControl/>
              <w:jc w:val="left"/>
              <w:rPr>
                <w:rFonts w:ascii="宋体" w:hAnsi="宋体" w:cs="宋体"/>
                <w:kern w:val="0"/>
                <w:sz w:val="24"/>
              </w:rPr>
            </w:pPr>
            <w:r>
              <w:rPr>
                <w:rFonts w:hint="eastAsia" w:ascii="宋体" w:hAnsi="宋体" w:cs="宋体"/>
                <w:kern w:val="0"/>
                <w:sz w:val="24"/>
              </w:rPr>
              <w:t>投标人应根据采购需求提供合理可行的相关内容，由评标专家根据投标人提供售后服务方案的实际情况进行打分。</w:t>
            </w:r>
          </w:p>
        </w:tc>
      </w:tr>
      <w:tr>
        <w:tblPrEx>
          <w:tblCellMar>
            <w:top w:w="0" w:type="dxa"/>
            <w:left w:w="108" w:type="dxa"/>
            <w:bottom w:w="0" w:type="dxa"/>
            <w:right w:w="108" w:type="dxa"/>
          </w:tblCellMar>
        </w:tblPrEx>
        <w:trPr>
          <w:trHeight w:val="1020" w:hRule="atLeast"/>
        </w:trPr>
        <w:tc>
          <w:tcPr>
            <w:tcW w:w="506" w:type="dxa"/>
            <w:tcBorders>
              <w:top w:val="nil"/>
              <w:left w:val="single" w:color="auto" w:sz="8" w:space="0"/>
              <w:bottom w:val="single" w:color="auto" w:sz="4" w:space="0"/>
              <w:right w:val="single" w:color="auto" w:sz="4" w:space="0"/>
            </w:tcBorders>
            <w:vAlign w:val="center"/>
          </w:tcPr>
          <w:p>
            <w:pPr>
              <w:widowControl/>
              <w:spacing w:line="400" w:lineRule="exact"/>
              <w:jc w:val="left"/>
              <w:rPr>
                <w:rFonts w:hint="eastAsia" w:ascii="宋体" w:hAnsi="宋体" w:eastAsia="宋体" w:cs="宋体"/>
                <w:kern w:val="0"/>
                <w:sz w:val="24"/>
                <w:lang w:eastAsia="zh-CN"/>
              </w:rPr>
            </w:pPr>
            <w:r>
              <w:rPr>
                <w:rFonts w:hint="eastAsia" w:ascii="宋体" w:hAnsi="宋体" w:cs="宋体"/>
                <w:kern w:val="0"/>
                <w:sz w:val="24"/>
                <w:lang w:val="en-US" w:eastAsia="zh-CN"/>
              </w:rPr>
              <w:t>三</w:t>
            </w:r>
          </w:p>
        </w:tc>
        <w:tc>
          <w:tcPr>
            <w:tcW w:w="9146" w:type="dxa"/>
            <w:gridSpan w:val="3"/>
            <w:tcBorders>
              <w:top w:val="single" w:color="auto" w:sz="4" w:space="0"/>
              <w:left w:val="nil"/>
              <w:bottom w:val="single" w:color="auto" w:sz="4" w:space="0"/>
              <w:right w:val="single" w:color="000000" w:sz="8"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商务部分（15分）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3</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rPr>
              <w:t>产品质量</w:t>
            </w:r>
            <w:r>
              <w:rPr>
                <w:rFonts w:hint="eastAsia" w:ascii="宋体" w:hAnsi="宋体" w:cs="宋体"/>
                <w:kern w:val="0"/>
                <w:sz w:val="24"/>
                <w:lang w:val="en-US" w:eastAsia="zh-CN"/>
              </w:rPr>
              <w:t>及账期</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10</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hint="default" w:ascii="宋体" w:hAnsi="宋体" w:eastAsia="宋体" w:cs="宋体"/>
                <w:kern w:val="0"/>
                <w:sz w:val="24"/>
                <w:lang w:val="en-US" w:eastAsia="zh-CN"/>
              </w:rPr>
            </w:pPr>
            <w:r>
              <w:rPr>
                <w:rFonts w:hint="eastAsia" w:ascii="宋体" w:hAnsi="宋体" w:cs="宋体"/>
                <w:kern w:val="0"/>
                <w:sz w:val="24"/>
              </w:rPr>
              <w:t xml:space="preserve">完全符合招标文件技术、服务要求没有负偏离的得5分，与招标文件要求有负偏离的，技术指标每负偏离一项扣0.5分直至此项分值扣完为止。 </w:t>
            </w:r>
            <w:r>
              <w:rPr>
                <w:rFonts w:hint="eastAsia" w:ascii="宋体" w:hAnsi="宋体" w:cs="宋体"/>
                <w:kern w:val="0"/>
                <w:sz w:val="24"/>
                <w:lang w:val="en-US" w:eastAsia="zh-CN"/>
              </w:rPr>
              <w:t>账期三个月或者账期金额超过300万元的得5分，与招标文件账期较少的或者金额倍数减少的扣2分直至此分数扣完为止。</w:t>
            </w:r>
          </w:p>
          <w:p>
            <w:pPr>
              <w:pStyle w:val="93"/>
              <w:spacing w:line="240" w:lineRule="auto"/>
              <w:rPr>
                <w:rFonts w:ascii="宋体" w:hAnsi="宋体" w:eastAsia="宋体" w:cs="宋体"/>
                <w:b w:val="0"/>
                <w:color w:val="000000" w:themeColor="text1"/>
                <w:sz w:val="24"/>
                <w:szCs w:val="24"/>
                <w14:textFill>
                  <w14:solidFill>
                    <w14:schemeClr w14:val="tx1"/>
                  </w14:solidFill>
                </w14:textFill>
              </w:rPr>
            </w:pPr>
            <w:r>
              <w:rPr>
                <w:rFonts w:hint="eastAsia" w:ascii="宋体" w:hAnsi="宋体" w:eastAsia="宋体" w:cs="宋体"/>
                <w:b w:val="0"/>
                <w:color w:val="000000" w:themeColor="text1"/>
                <w:sz w:val="24"/>
                <w:szCs w:val="24"/>
                <w14:textFill>
                  <w14:solidFill>
                    <w14:schemeClr w14:val="tx1"/>
                  </w14:solidFill>
                </w14:textFill>
              </w:rPr>
              <w:t>注：根据投标人提供的《投标产品技术偏离表》及证明材料进行评分。</w:t>
            </w:r>
          </w:p>
        </w:tc>
      </w:tr>
      <w:tr>
        <w:tblPrEx>
          <w:tblCellMar>
            <w:top w:w="0" w:type="dxa"/>
            <w:left w:w="108" w:type="dxa"/>
            <w:bottom w:w="0" w:type="dxa"/>
            <w:right w:w="108" w:type="dxa"/>
          </w:tblCellMar>
        </w:tblPrEx>
        <w:trPr>
          <w:trHeight w:val="1020" w:hRule="atLeast"/>
        </w:trPr>
        <w:tc>
          <w:tcPr>
            <w:tcW w:w="506"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ascii="宋体" w:hAnsi="宋体"/>
                <w:szCs w:val="21"/>
              </w:rPr>
            </w:pPr>
            <w:r>
              <w:rPr>
                <w:rFonts w:hint="eastAsia" w:ascii="宋体" w:hAnsi="宋体"/>
                <w:szCs w:val="21"/>
              </w:rPr>
              <w:t>4</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企业信誉</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5</w:t>
            </w:r>
          </w:p>
        </w:tc>
        <w:tc>
          <w:tcPr>
            <w:tcW w:w="7173" w:type="dxa"/>
            <w:tcBorders>
              <w:top w:val="single" w:color="auto" w:sz="4" w:space="0"/>
              <w:left w:val="nil"/>
              <w:bottom w:val="single" w:color="auto" w:sz="4" w:space="0"/>
              <w:right w:val="single" w:color="auto" w:sz="8" w:space="0"/>
            </w:tcBorders>
            <w:shd w:val="clear" w:color="000000" w:fill="FFFFFF"/>
          </w:tcPr>
          <w:p>
            <w:pPr>
              <w:spacing w:before="3"/>
              <w:jc w:val="left"/>
              <w:rPr>
                <w:rFonts w:ascii="宋体" w:hAnsi="宋体" w:cs="宋体"/>
                <w:kern w:val="0"/>
                <w:sz w:val="24"/>
              </w:rPr>
            </w:pPr>
            <w:r>
              <w:rPr>
                <w:rFonts w:ascii="宋体" w:hAnsi="宋体" w:cs="宋体"/>
                <w:kern w:val="0"/>
                <w:sz w:val="24"/>
              </w:rPr>
              <w:t>投标人</w:t>
            </w:r>
            <w:r>
              <w:rPr>
                <w:rFonts w:hint="eastAsia" w:ascii="宋体" w:hAnsi="宋体" w:cs="宋体"/>
                <w:kern w:val="0"/>
                <w:sz w:val="24"/>
              </w:rPr>
              <w:t>提供企业信用等级3A证书得1分，没有不得分。</w:t>
            </w:r>
          </w:p>
          <w:p>
            <w:pPr>
              <w:pStyle w:val="2"/>
              <w:rPr>
                <w:rFonts w:ascii="宋体" w:hAnsi="宋体" w:eastAsia="宋体" w:cs="宋体"/>
                <w:color w:val="auto"/>
              </w:rPr>
            </w:pPr>
            <w:r>
              <w:rPr>
                <w:rFonts w:hint="eastAsia" w:ascii="宋体" w:hAnsi="宋体" w:eastAsia="宋体" w:cs="宋体"/>
                <w:color w:val="auto"/>
              </w:rPr>
              <w:t>质量管理体系认证证书、</w:t>
            </w:r>
            <w:r>
              <w:rPr>
                <w:rFonts w:ascii="宋体" w:hAnsi="宋体" w:eastAsia="宋体" w:cs="宋体"/>
                <w:color w:val="auto"/>
              </w:rPr>
              <w:t>职业健康与安全管理体系</w:t>
            </w:r>
            <w:r>
              <w:rPr>
                <w:rFonts w:hint="eastAsia" w:ascii="宋体" w:hAnsi="宋体" w:eastAsia="宋体" w:cs="宋体"/>
                <w:color w:val="auto"/>
              </w:rPr>
              <w:t>认证证书，每提供一个加1分。</w:t>
            </w:r>
          </w:p>
          <w:p>
            <w:pPr>
              <w:pStyle w:val="2"/>
              <w:rPr>
                <w:rFonts w:ascii="宋体" w:hAnsi="宋体" w:eastAsia="宋体" w:cs="宋体"/>
                <w:color w:val="auto"/>
              </w:rPr>
            </w:pPr>
          </w:p>
        </w:tc>
      </w:tr>
    </w:tbl>
    <w:p>
      <w:pPr>
        <w:spacing w:line="520" w:lineRule="exact"/>
        <w:ind w:right="18"/>
        <w:rPr>
          <w:rFonts w:ascii="宋体" w:hAnsi="宋体" w:cs="宋体"/>
          <w:kern w:val="0"/>
          <w:sz w:val="24"/>
        </w:rPr>
      </w:pPr>
    </w:p>
    <w:p>
      <w:pPr>
        <w:pStyle w:val="2"/>
        <w:rPr>
          <w:rFonts w:hint="eastAsia" w:eastAsia="黑体"/>
          <w:lang w:val="zh-CN" w:eastAsia="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3"/>
        <w:jc w:val="center"/>
      </w:pPr>
      <w:bookmarkStart w:id="175" w:name="_Toc87205271"/>
      <w:r>
        <w:rPr>
          <w:rFonts w:hint="eastAsia"/>
        </w:rPr>
        <w:t>第七章 采购需求一览表</w:t>
      </w:r>
      <w:bookmarkEnd w:id="175"/>
    </w:p>
    <w:p/>
    <w:bookmarkEnd w:id="105"/>
    <w:bookmarkEnd w:id="106"/>
    <w:bookmarkEnd w:id="107"/>
    <w:p>
      <w:pPr>
        <w:jc w:val="center"/>
      </w:pPr>
      <w:r>
        <w:rPr>
          <w:rFonts w:hint="eastAsia"/>
          <w:b/>
          <w:sz w:val="28"/>
          <w:szCs w:val="28"/>
          <w:lang w:val="en-US" w:eastAsia="zh-CN"/>
        </w:rPr>
        <w:t>西藏康城肿瘤医院</w:t>
      </w:r>
      <w:r>
        <w:rPr>
          <w:rFonts w:hint="eastAsia"/>
          <w:b/>
          <w:sz w:val="28"/>
          <w:szCs w:val="28"/>
          <w:lang w:eastAsia="zh-CN"/>
        </w:rPr>
        <w:t>医用耗材</w:t>
      </w:r>
      <w:r>
        <w:rPr>
          <w:rFonts w:hint="eastAsia"/>
          <w:b/>
          <w:sz w:val="28"/>
          <w:szCs w:val="28"/>
        </w:rPr>
        <w:t>采购明细表</w:t>
      </w:r>
    </w:p>
    <w:tbl>
      <w:tblPr>
        <w:tblStyle w:val="30"/>
        <w:tblW w:w="9285" w:type="dxa"/>
        <w:tblInd w:w="-1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3075"/>
        <w:gridCol w:w="2025"/>
        <w:gridCol w:w="675"/>
        <w:gridCol w:w="108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名称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267"/>
              </w:tabs>
              <w:jc w:val="both"/>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厂家</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477"/>
              </w:tabs>
              <w:ind w:firstLine="221" w:firstLineChars="100"/>
              <w:jc w:val="left"/>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价格</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2"/>
                <w:szCs w:val="22"/>
                <w:u w:val="none"/>
                <w:lang w:val="en-US" w:eastAsia="zh-CN" w:bidi="ar"/>
              </w:rPr>
            </w:pPr>
            <w:r>
              <w:rPr>
                <w:rFonts w:hint="eastAsia" w:ascii="仿宋" w:hAnsi="仿宋" w:eastAsia="仿宋" w:cs="仿宋"/>
                <w:b/>
                <w:bCs/>
                <w:i w:val="0"/>
                <w:iCs w:val="0"/>
                <w:color w:val="000000"/>
                <w:kern w:val="0"/>
                <w:sz w:val="22"/>
                <w:szCs w:val="22"/>
                <w:u w:val="none"/>
                <w:lang w:val="en-US" w:eastAsia="zh-CN" w:bidi="ar"/>
              </w:rPr>
              <w:t>医保编码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3%过氯化氢消毒液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3%过氧化氢消毒液利尔康</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3M1322蒸汽灭菌指示胶带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3M-24MM*0.94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75%酒精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75%酒精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500ml*30瓶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805原装墨水（彩超室）</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LC673LC674LM674LM673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ABO血型定型红细胞试剂（人红细胞）</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A1.B.O浓度为2~4%.3*5ml/盒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a-羟丁酸脱氢酶（a-HBDH）测定试剂盒（DGKC法）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BC-5D质控物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105-003212-00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COBRA导管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5FC2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C反应蛋白CRP血球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105-004860-00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C型头圈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27*7*7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D-二聚体测定试剂盒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105-012170-00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D-二聚体测定试剂盒（胶乳增强免疫透射）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3*4ml.5*6ml.2*6ml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FST微型血管夹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18055-03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FST血管夹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1055-04 125g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ICU面罩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KJ412一次性使用吸头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蓝色吸头1000uI/100支/袋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KJ419-3一次性使用吸头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200uI（1000支/袋）配打龙移液器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KJ419-3一次性使用吸头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200uI(1000支/袋)配大龙移液器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LC溶血剂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105-004857-00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M-53LEO(I)溶血剂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A11-000113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M-53LEO(II)溶血剂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A11-000114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M-53LH溶血剂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A11-000116---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M-53LH溶血剂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A00-000116---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M-5D稀释液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105-005706-00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M-5LEO(I)溶血剂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105-005606-00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M-5LEO（I）溶血剂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105-005606-00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M-5LEO(II)溶血剂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105-005598-00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N-端脑利钠肽前体检测试剂盒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N-端脑利钠钛前体验测试剂盒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PE手套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RhD(IgM)血型定型试剂（单克隆抗体）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10ml/支*1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SIM导管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5F西蒙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TDP烤灯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CQ-27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THUNDERBEAT双极高频超声双输出手术器械，前驱动枪式手柄，35cm</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TB-0535FC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X光观片灯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Y-谷氨酰转移酶（Y-GT）测定试剂盒（IFCC法）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BS200/176ml1：R1:4*35ml+R2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Y谷氨酰转移酶Y-GT120系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ZD286RN显微镊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160*0.4.直型.圆柄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ZD287RN显微镊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160*0.4.弯型.圆柄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ZF2667RB显微组织剪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160直型.带齿.簧式.圆柄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ZF2668RB显微组织剪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160弯型.带齿.簧式.圆柄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ZL423RG凹凸止血夹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65.弯.可调式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ZL424RG凹凸齿止血夹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65.直.可调式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ZL513RG显微止血夹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50mm.反力式.直.横齿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ZL514RG显微止血夹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50mm.反力.弯.横齿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ZL515RG显微止血夹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60mm.反力式.直.横齿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ZL516RG显微止血夹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60mm.反力式.弯.横齿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艾柱320盒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艾滋定性试纸（HIV）</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白蛋白（ALB)测定试剂盒（嗅甲酚绿法）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白蛋白ALB120系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摆药盒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粉红色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摆药盒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绑扎胶布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1CM*100CM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24CM迭鳃式直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膀胱素C（CyscII）</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BS200/52ml；R1：1*40ml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膀胱肿瘤匙钳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膀胱肿瘤匙钳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鼻咽通气道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笔式手电筒（瞳孔笔）</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LTSDT-4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便隐血（FOB)检测试剂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标本袋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中100个/包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标本袋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小100个/包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标本袋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大100个/包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标本转运箱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丙氨酸氨基酸转移酶（ALT）测定试剂盒（IFCC法）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BS200/176ml1:R1:4*35ml+R2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丙氨酸氨基转移酶ALT120系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丙肝定性试剂（HCV）</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丙肝定性试纸（HCV）</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丙型肝炎病毒抗体（HCV)检测试剂（胶体金法）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条型、100人份/盒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丙型肝炎病毒抗体检测试剂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病床三件套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病人监护仪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ePM10C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病人监护仪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epm10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病人监护仪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eps10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玻璃体温计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三角形棒式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不规则抗体筛选红细胞试剂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 II III浓度为2~4%.3*5ml/盒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不锈钢担架车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四小轮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不锈钢镊子筒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80*198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不锈钢三层护理床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方管 加厚</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不锈钢腰子盘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190*116*25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不锈钢腰子盘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小号（178*104*25）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不锈钢腰子盘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中号（190*116*25）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不锈钢腰子盘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大号（204*130*25）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不锈钢药杯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不锈钢药碗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布胶布(透气胶布)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1.25CM*910CM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采血器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DXZ-2  25支/盒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参比液（离子选择电极法）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肠夹持钳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肠钳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22cm弯斜齿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常规生化复合校准品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105-001105-00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常规生化复核校准品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10X3ml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超声刀刀头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TB-0520FC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超声刀刀头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BTW-US-G23C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超声刀刀头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TB-0535FC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25CM细针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25CM粗针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无损伤式30CM滑板式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33CM弯头重柄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16CM粗针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16CM细针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160直 粗针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持针钳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18cm细针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大便标本杯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40个/袋紧急采购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胆道探条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胆碱脂酶CHE120系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105-001565-00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胆碱酯酶(CHE)测定试剂盒（（丁酰硫代胆碱法）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BS200/96ml:RI:2*40ml+R2: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20CM盖板式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20CM穿鳃式H32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20CM穿鳃式H20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18CM盖板式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22CM迭鳃式有齿H22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22CM迭鳃式无齿H22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胆石匙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双头匙宽12/14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胆石匙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双头匙宽5/6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胆石匙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双头匙宽8/10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弹力绷带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7.5cm*450cm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弹力绷带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8CM-2.5M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弹力帽</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刀柄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RF*GA35153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RF*GA35153M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导丝（0.018）</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RF*CA18153M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导丝（加硬交换）</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RF*PA35263M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导丝.泰尔茂（各型）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RF*PA35183M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导丝.泰尔茂（各型）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PF*GA35153M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导丝.泰尔茂（各型）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RF*PA35263M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低密度脂蛋白胆固醇LDL-C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105-000464-00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低密度脂蛋白胆固醇LDL-C120系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105-000464-00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点而康表面消毒巾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60片/包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碘伏棉签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50支/瓶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碘伏消毒液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碘伏消毒液（安尔碘)1%</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电动吸引器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7A-23B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电动吸引器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电动吸引器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电极活化液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电极内充液（普通电极）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电极片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电极清洁液（蛋白酶）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蛋白酶25mg/支*5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电解质反应杯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电解质分析仪专用配套试剂包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漂移校正液A：430ml 1袋+斜率校正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电解质分析仪专用试剂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A430ml/袋+斜率校正液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电解质分析仪专用试剂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内校液2C-2  110ml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电解质试剂包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电热恒温水槽</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HH-W600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电子石英定时计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电子血压计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淀粉酶-AMY-120系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105-000475-00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多功能喉罩（四代）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多功能护理实习模拟人生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BOU/H2C-B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多功能试管架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多功能血液融浆机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EYY-1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多酶清洗剂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多项目尿液化学分析控制品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12瓶/盒（冻干品6瓶，复溶瓶6瓶）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防护镜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16231AF</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防漏膏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700260g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防水创可贴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100片/盒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非吸收性单股聚丙烯缝线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VP557X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非吸收性单股聚丙烯缝线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VP556X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肺叶钳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20CM头宽27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肺叶钳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三角20CM头宽12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分离结扎钳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18CM角弯90*15全齿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分离结扎钳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20cm90度*14全齿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36CM滑板式弯H10有锁1*2齿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36CM滑板式弯H22有锁牙1*2齿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36CM滑板式弯H15有锁牙全齿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5*330弯18CM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5*330直角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36CM滑板式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风管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600*650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封口机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缝合钳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2.5上开口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缝合钳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角弯H50（肛门）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缝合钳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角弯H60（肛门）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敷料镊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服药袋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100个/本   50本</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负压吸引接管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平纹管+头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负压引流器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简型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复辟牵开器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215*242MM三翼固定式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腹壁拉钩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28CM圆柄式（无镀层）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腹壁拉钩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大中小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弹力腹带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腹腔镜手术器械（穿刺器）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HF6518型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腹腔吸引管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24CM弯形圆头AMP：10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甘油三脂TG120系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肛漏探针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18CM双头球#2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肛门镜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筒形直型平口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肛门镜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双叶无孔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肛门镜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双叶无空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肛门牵开器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大叶95/小叶73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高密度脂蛋白胆固醇HDL-C120系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105-000463-00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高频手术电极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BS-4-S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高效快速多酶清洗液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供氧系统氧气吸入器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DY-A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宫颈压板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宫内节育器取出钩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骨钩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27cm角式平H60扇柄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挂架（床头架）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挂架（床头推车架）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挂架(平板架)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观片灯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胱抑素（CysC）测定试剂盒120系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105-0004683-00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胱抑素C（CysC II）测定试剂盒（胶乳免疫比浊法）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BS200/52ml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胱抑素C(cYSc)测定试剂盒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105-004683-00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胱抑素C（CysC)质控品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105-004710-00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过氧化氢低温等离子体灭菌极速生物阅读器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LK/AR-0102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42CM滑板式弯有齿头宽8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25cm直有齿头宽10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25cm弯有齿头宽10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25cm直无齿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25cm直有齿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海绵钳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25cm直无齿头宽10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核苷酸酶（5-NT）测定试剂盒（酶笔色法）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喉镜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护士服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各号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活化部分凝血活酶时间（APTT）测定试剂盒（鞣花酸）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活化部分凝血酶时间APTT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肌酐（CREA)测定试剂盒（肌氨氨酸氧化酶法）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BS200/72ml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肌酐CREA-S120系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肌瘤剥离器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肌酸激酶CK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肌酸激酶MB型同工酶（CK-MB）测定试剂盒（免疫抑制法）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BS200/88ml1：R1:2*35ml+R2：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肌酸激酶MB型同工酶120系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肌酸激酶同工酶/心肌肌钙蛋白I/肌红蛋白三合一检测试剂盒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激光胶片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激光胶片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12.6*17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甲肝定性试纸（HAV）</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甲型肝炎病毒IGM抗体检验试剂盒（胶体金法）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卡型、21人份/盒/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1800*600*650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简易呼吸气器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碱性磷酸酶（ALP)测定试剂盒（ALB)测定试剂盒（AMP）缓冲液法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  BS200*176ml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碱性磷酸酶ALP120系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降钙素原检测试剂盒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洁芙柔抗菌洗手液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洁芙柔免洗消手消毒凝胶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洁芙柔速干手消毒液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洁力佳表面消毒巾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50抽/包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洁瑞一次性使用肝素帽</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CSM-Z</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金士顿固态硬盘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净化器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2w风量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静脉拉钩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20CM（WD）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举宫钳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30CM平头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举宫钳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34.5CM尖头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开口器舌钳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标准配置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凯沃尔carewe11数字式心电图机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ECC-1112M（含4C模块）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抗A抗B血型定型试剂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10ml*2（赠送）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抗A抗B血型定型试剂（单克隆抗体）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抗菌手术薄膜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3k</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抗菌洗手液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抗人球蛋白（抗IgG）检测卡（柱凝集法）/交叉配血卡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6孔/卡（12卡/盒）51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抗人球蛋白卡（抗IgG+C3d）检测卡（柱凝集法）/广谱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6孔/卡（12卡/盒）51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VLOCL0813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GL182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GL885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GL914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框架式牵开器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JB  A9-1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框架式牵开器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JY  A8-1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200*18静脉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老肯牌LK/DBZ型低温等离子体灭菌包装袋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75mm*70m  1卷/件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老肯牌LK/DBZ型低温等离子体灭菌包装袋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300mm*70m  1卷/件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老肯牌LK/DBZ型低温等离子体灭菌包装袋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200mm*70m  1卷/件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老肯牌LK/DBZ型低温等离子体灭菌包装袋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150mm*70m  1卷/件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老肯牌LK/DZD型低温等离子体灭菌化学指示胶带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2卷/盒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老肯牌LK/DZK型低温等离子体灭菌化学指示卡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200片/件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老肯牌LK/DZT型低温等离子体灭菌化学指示胶贴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200片/包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老肯牌LK/KJF-Y-120-D型等离子体空气净化消毒机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LK/KJF-Y-120-D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老肯牌LK/WFB型灭菌用无纺布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1.2m*1.2m(10张/包)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老肯牌LK/WFB型灭菌用无纺布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0.9m*0.9m(10张/包)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老肯牌低温等离子体灭菌器专用卡匣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100/200  PFID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老肯牌过氧化氢低温等离子体灭菌效果监测极速生物指示剂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LKBI0102  50支/盒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老肯牌压力蒸汽灭菌包内化学指示卡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95mm*15mm  200片/盒白卡纸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老肯牌压力蒸汽灭菌化学指示胶带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50m*1.9cm(带指示)2卷/盒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乐凯干式胶片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乐凯干式胶片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肋骨骨膜剥离器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25CM平/凹</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34CM左式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34CM右式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肋骨膜剥离器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肋骨膜剥离器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肋骨膜剥离器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钢支架34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肋骨咬骨钳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双关节弯方口</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冷藏箱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QBLL0812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利器盒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利器盒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利器盒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6Y</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利器盒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15Y</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邻苯二甲醛消毒液(健之素牌）</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淋巴结钳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42CM滑板式弯有齿头宽8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淋巴结钳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24CM头宽16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领苯二甲醛消毒液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流量表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YF-04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流量表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YF-05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轮椅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FS-1B11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氯化钙（APTT配套）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0603-789（1*50Ml）赠送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滤芯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麻醉车JY;C-31Q</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750*475*930mm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麻醉推车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JYTC-042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迈瑞Mindray病人监护仪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uMEC7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迈瑞自动体外除颤仪专业版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BeneHe art DI（AED）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毛巾钳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梅毒定性试剂（TP）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梅毒定性试纸（TP）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梅毒甲苯红不加热血清试验诊断试剂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梅毒螺旋体抗体（TP）检测试剂（胶体金法）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条形、100人份/盒/全血/血清/血浆</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梅毒旋转仪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GXZA-II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镁（Mg）测定试剂盒（二甲苯胺蓝法）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BS200/160ml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明胶海绵颗粒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710-1000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明胶海绵颗粒栓塞剂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350-560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明胶海绵颗粒栓塞剂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710UM-1000UM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明胶海绵颗粒栓塞剂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350UM-560UM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磨药碗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钠石灰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脑膜剪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180mm圆弯头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尿道扩张器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小儿F5-F14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尿素（13C）胶囊呼气试验药盒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尿素（13C）胶囊含尿素（13C）75mg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尿素（UREA）测定试剂盒（紫外-谷氨酸脱氢酶法）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尿素UREA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尿素UREA120系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尿酸UA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105-000476-00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尿酸UA120系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105-000476-00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尿液分析仪试纸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尿十一联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凝聚胺介质试剂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150测试</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凝血酶时间TT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凝血酶时间TT测定试剂盒（液体）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凝血酶原时间（PI）测定试剂盒（液体型）（凝固法）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凝血酶原时间PT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帕巾钳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16cm尖头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帕巾钳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14cm弯头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泡沫敷料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12.5-12.5cm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JY/ZYC-D-B(036)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剖腹单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200*300cm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葡萄糖（GLU）测定试剂盒（葡萄糖氧化酶法）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141521004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葡萄糖GLU  -0120系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105-000949-00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葡萄糖GLU-0120系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105-000949-00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气垫床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方格mini型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气管导管夹持钳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婴幼儿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气管导管夹持钳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气管导管夹持钳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儿童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80*80cm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140*140cm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100*100cm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150*180cm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70*70cm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器械布包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100*100cm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1400*60*850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700*430*800cm三层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1000*500*120cm五层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1160*560*880cm两层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1000*500*800cm两层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器械推车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1160*560*880cm三层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前白蛋白（PA）测定试剂盒（免疫透射比浊法）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BS200/55ml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前白蛋白校准品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3X1ml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前列腺剪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22CM膀胱颈弯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前列腺窝拉钩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34CM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前列腺组织钳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腔镜下切割吻合器及一次性订匣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NPDE6048R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抢救车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QT731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桥动脉介入穿刺部位止血器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33CM弯型单动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全量程C反应蛋白检测试剂盒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全量程C反应蛋白检测试剂盒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全自动凝血分析仪测试杯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1000只/盘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全自动凝血分析仪清洗液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全自动凝血分析仪洗针液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105-015577-00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全自动血凝杯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全自动血凝分析仪清洗液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热敏胶片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热敏瓶签纸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热敏瓶签纸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热敏瓶签纸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热敏瓶签纸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热敏腕带条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成人腕带</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热敏心电图纸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人类免疫缺陷病毒抗体（HIVI/2）检测试剂（胶体金法）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50人份/盒/全血/血清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人类免疫缺陷病毒试剂（H1V1/2）抗体检测试剂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人类免疫缺陷病毒试剂HIV1/2抗体检测试剂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人绒毛膜促性腺激素（HCC）检测试纸（胶体金法）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100TS/盒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人绒毛膜促性腺激素试纸HCG</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乳酸 脱氢酶LDH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乳酸脱氢酶（LDH)测定试剂盒（IFCC）法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乳酸脱氢酶LDH120系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瑞氏一姬姆萨染色液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三角肺叶钳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20CM头宽18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纱布绷带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8cm*300cm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身高体重秤</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RGZ-120型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深部拉钩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深部拉钩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24CM板式（叶宽35*17）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深部拉钩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肾蒂钳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25CM圆弯R37*29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肾蒂钳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25CM圆弯R30*32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肾蒂钳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25CM圆弯R23*35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迭鳃式H22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22CM迭鳃式H55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22CM迭鳃式H43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肾取石钳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22CM迭鳃式H52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生化分析仪用清洗液CD80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105-000108-00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生化复合定值质控品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105-007316-00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生物安全运输箱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QB-UN2814-LV12铝制款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生物分析仪用清洗液CD80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105-000108-00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生物显微镜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CZ28LEDRFS1C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施夹钳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10*330塑料夹大号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施夹钳（不带夹）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SJQWC10HK280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十二导心电图记录纸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210*295-100P</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石蜡油/液体石蜡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士必得4代内存条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手持式麻醉视频喉镜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TK2020WDH11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手动轮椅车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LY-460B100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手术刀柄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手术刀柄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14cm直尖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16CM直尖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180mm弯尖</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手术器械车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QT310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手术切口无菌保护膜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30cm*40cm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手术切口无菌保护膜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45cm*45cm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定制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手术用医用喉罩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手术用医用喉罩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输卵管提取板钩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输尿管夹持钳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16CM弯有齿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输液泵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单通HY-900B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输液泵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HY-800A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输液敷贴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栓塞材料（栓塞微粒）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S610CH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栓塞材料（栓塞微球）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S410CH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栓塞弹簧圈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MWCE-18S-3.0-3HILAL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栓塞弹簧圈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MWCE-18S-2.0-2HILAL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栓塞微粒球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S410GH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双极电凝钳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5*330（塑柄弯头）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双极高频电缆线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双面抓药台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2.0*1.2*0.8m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双面桌</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1600*1200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双腔支气管插管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FR37左侧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双腔支气管插管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FR35右侧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双腔支气管插管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FR37右侧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双腔支气管插管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fr35左侧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双通道注射泵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HY-902A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双翼阴道检查扩张器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92*34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水胶体敷料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速干手消液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塑料试管（软管）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500支/包  12*75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随弃式导电粘胶中性极板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成人双极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台式低速离心机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TDZ5-WS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泰尔茂导丝</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RF*GA35153M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泰尔茂导丝</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PF*GA35153M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探头清洁剂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50ml/BC6800/5380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探头清洁液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105-005708-00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探头清洗液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105-005708-00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特定电磁波治疗器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TDP-CQ-23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体位垫</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72*46*15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体温计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三角形棒式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体重身高秤（电子）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KF-LED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天门冬氨酸氨基转移酶（AST）测定试剂盒（IFCC法）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BS22/176ml1：R1:4*35ml+R2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天门冬氨酸氨基转移酶AST120系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铁（Fe）测定试剂盒（比色法）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96mlR1：2X40ml，R2:1X16ml1X1.5ml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听诊器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听诊器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插入式二用（A型）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同型半胱氨酸HCY质控品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105-008842-00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同型光胱氨酸HCY  II120系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105-011668-00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同型光胱氨酸HCYII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105-011668-00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瞳孔笔</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统一钛合能3系SL  5w-30</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4L*4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统一统力发动机冷却液-30.C</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18KG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透气胶带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2.5CM*9.1M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透气胶贴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2.5cm*9.1m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推车（3层）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QT313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托盘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30*40*48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托盘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托盘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托盘架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外周插管中心静脉导管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3275118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弯盘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万福金安片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万福金安消毒片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100片/瓶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万福金安消毒片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MC-PE27131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微量血气采血器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DXZ-2   25支/盒  500支/件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微球蛋白2-MG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105-004698-00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微球蛋白测定试剂盒120系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105-004693-00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微球蛋白质控品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105-004711-00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WGD-II-16(KD)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胃钳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温湿度监测仪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WS-2A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显微血管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无机磷（P）测定试剂盒（磷钼酸法）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BS200/160ml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无菌缝合包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10cm*15cm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无菌手术刀片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无菌手术刀片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无菌手术刀片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1000片/盒   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无菌手术刀片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1000片/盒  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22CM直头1.8*3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25CM膀胱颈弯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膀胱颈25CM弯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血管阻断12.5CM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16CM圆弯35*10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无损伤止血钳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14cm圆弯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戊二醛</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2000ml*10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吸头盒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可放200uI吸头 300uIX96孔红色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吸头盒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10uIX96孔浅绿色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吸头盒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1000uIX100孔淡黄色</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吸氧管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吸引管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33CM弯形平头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纤维蛋白（原）降解产物（FDP）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FDO胶乳液3*5ml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纤维蛋白（原）降解产物FDP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105-011863-00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纤维蛋白/纤维蛋白原降解产物质控品FDP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105-018619-00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纤维蛋白/纤维蛋白原降解产物质控品FDP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105-218619-00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纤维蛋白原FIB</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腺苷脱氨酶（ADA）测定试剂盒（酶比色法）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YSRI0导管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5F亚西落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白蛋白ALB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备皮刀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双面刃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绷带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1000mm*4500mm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鼻胃肠管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14FR*130CM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鼻胃管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4.67mm(ch14-110)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鼻咽通气道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橡皮膏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0.9*300cm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消毒筐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小便标本杯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1000个/袋紧急采购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25CM海更式圆弯直柄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24CM海更式圆弯弯柄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不锈钢镊子筒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64*158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心耳钳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24CM海更式双角弯弯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不锈钢手术盆</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28-36cm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心脏剪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胸骨牵开器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单叶固定式65*50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胸腔闭式引流管/器（带管）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血沉管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100支/板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血沉检测架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1个/盒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常规生化复合校准品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105-001122-00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钛合金长65mm弯，宽2*工作长20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钛合金长57MM弯，宽2*工作长15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钛合金长51mm弯，宽2*工作长11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钛合金长57mm直，宽2*工作长15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钛合金长51MM直。宽2*工作长11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血管内造影导管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DF*DG95007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胆道支架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NB-8/60-ZG-X-3/600-E</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血管内造影导管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RF*DG35008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血管内造影导管（肝管）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RF*DG35008M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血管鞘组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RS*A50K10S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弹性绷带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100mm*4500mm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血管鞘组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RS*A5K10SQ</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血管鞘组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RS*A50K10SQ</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血管鞘组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RS*A60K10SQ.6F</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导丝（超滑加硬）</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RF*PA35183M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血管鞘组</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RS-A5OK1OSQ</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血管造影导管（MIK）</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HND5.0-58-80-P-NS-MIK</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血凝仪清洗液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导丝.泰尔茂（各型）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RF*CA18153M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血糖试纸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血糖仪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卓越型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血细胞分析仪用质控物（光学法）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BC-5D/中值/3.0ml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血细胞分析用稀释液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M-5D(20L*1)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血压计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血压计（电子）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7136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淀粉酶AMY120系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105-000475-00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动静脉留置针（Y型）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多功能喉罩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多功能喉罩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多功能喉罩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多功能喉罩（四代）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血压计（台式）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血氧饱和度监测仪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YX301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血氧饱和度监测仪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凡士林纱布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血氧仪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YX301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非可吸收性单股聚丙烯缝线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VP556X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非吸收性单股聚丙烯缝线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VP522X</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压肠板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0-0（7#）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1601-41-3-0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1601-41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1604-51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非吸收性外科缝线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1607-61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风湿三项（ASO/CRP/RF)复合质控品（血球)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105-011645-00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腹部拉钩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18cm板式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氧气瓶推车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氧气瓶推车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LZJ-PT115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甘油三脂TC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氧气吸入器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YF-05A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高密度脂蛋白胆固醇HDL-C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105-000463-00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氧气枕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高频手术电极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BG-8-S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药勺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带笔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谷氨酰转移酶CT120系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液体石蜡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450ML/瓶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液体石蜡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一次性N95口罩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16cm*11cm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一次性被服包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50*70cm   20个/包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一次性病理标本杯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一次性采样拭子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95000M型宫颈</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合成可吸收性外科缝线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CL885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合成可吸收性外科缝线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CL182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合成可吸收性外科缝线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CL914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合成可吸收性外科缝线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荷包成型器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荷包缝合针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65（1*10）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化疗泵输送系统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成人7F</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肌酸肌酶CK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肌酸肌酶MB型同工酶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105-000459-00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肌酸激酶同工酶校准品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105-001110-00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加强型气管插管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加强型气管插管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加强型气管插管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加强型气管插管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甲型肝炎病毒(IgM)检测试剂(HAV)</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检查手套（一次性薄膜（PE）卫生手套）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简易呼吸器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碱性磷酸酶ALP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健之素牌邻苯二甲醛消毒液浓度检测卡I型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50条/瓶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胶片14*17</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35cm*43cm（14*17）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一次性大便盆</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洁芙柔抗菌洗手液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洁芙柔免洗手消毒凝胶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洁芙柔速干手消毒液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洁力佳表面消毒巾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经皮导入器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NPAS-100-RH-NT</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经外周插管的中心静脉导管套件及附件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7617405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经外周中心静脉导管套装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7617405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静脉采血针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酒精棉签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50支/瓶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聚乙烯醇栓塞微球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S410GH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卷尺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一次性腹腔穿刺包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NPVM-100-3-A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VLOCL0604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一次性腹腔穿刺包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NPVM-100-4-A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一次性腹腔穿刺包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VL0CL0604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GMM563L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可吸收缝合线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VLOCL0316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一次性肝门镜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一次性肝素帽</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CSM-Z</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一次性肛门镜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可吸收止血纱布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口垫</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垃圾袋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邻苯二甲醛消毒液（健之素牌）</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Y型18G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麻醉面罩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麻醉面罩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麻醉面罩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梅毒螺旋体检测试剂TP</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明胶海绵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一次性骨穿包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一次性硅胶胃管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一次性硅胶胃管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FR18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一次性活检针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半自动18G160MM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一次性活检针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半自动18G90MM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一次性活检针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半自动18G130MM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一次性精密过滤输液器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一次性帽子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120/130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180/190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220/230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一次性切口保护固定牵开器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150/160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一次性三通</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TR-P-02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一次性识别腕带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一次性使用鼻氧管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B型双鼻架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一次性使用鼻痒管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B型双鼻架2.5米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一次性使用避光输液器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一次性使用避光压力延长管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一次性使用肠道冲洗袋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一次性使用穿刺针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23G-50MM/25支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一次性使用创伤处理包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换药型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一次性使用大便杯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一次性使用大便盆</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一次性使用导电粘胶极板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HW-DF225*115(赠送)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一次性使用导尿包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5贴/片X5片/袋X20袋/盒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一次性使用肛肠囊扎器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CCTZA-4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一次性使用高压造影注册器及附件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一次性使用高压造影注射器及附件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一次性使用高压造影注射器及附件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901150A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一次性使用高压造影注射器及附件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一次性使用高压注射器及附件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ART700SYR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一次性使用高压注射器针筒及附件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ART700SYR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一次性使用管型吻合器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NPNA29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一次性使用管型吻合器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NPNA26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一次性使用管型吻合器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PYWG-32J</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一次性使用硅像胶引流球管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9.0MM（F28）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一次性使用硅橡胶胃管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一次性使用硅橡胶胃管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一次性使用硅橡胶引流球管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7.0MM（F22）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一次性使用硅橡胶引流球管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7.8MM（F26）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一次性使用结扎夹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一次性使用介入手术包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一次性使用介入手术包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一次性使用介入手术包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一次性使用介入手术辅助包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一次性使用介入手术辅助包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一次性使用精密过滤输液器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一次性使用静脉采血针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一次性使用静脉采血针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0.7*25mm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安全Y式18G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22GY式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24GY式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SR*FS1851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蓝色 柠檬酸钠9NC（2ml）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黄色 分离胶+促凝剂 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分离胶-促凝黄色管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黑色柠檬酸钠4NC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黄色分离胶+促凝剂</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红色普通管（5ML）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K2EDTA紫色5ML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蓝色柠檬酸钠9NC(2ML)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紫色K2EDTA   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一次性使用静脉血样采集容器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红色普通管5ML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一次性使用静脉营养输液袋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一次性使用口腔护理包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一次性使用口咽通气道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一次性使用捆扎式止血带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  50条/盒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一次性使用离心管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1.5ml/不抗凝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一次性使用麻醉穿刺包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AS-N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一次性使用麻醉穿刺包神经阻滞</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AN-NO.7*90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一次性使用麻醉呼吸回路可伸缩标准型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2.0m成人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一次性使用麻醉用针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AN-N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一次性使用帽子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圆顶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一次性使用帽子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弹簧帽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6.5有粉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7.5有粉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6.5无粉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7无粉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7.5无粉</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一次性使用尿杯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NPDE6048R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NPDE6025R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NPDE</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NPDE6035R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BPDE</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一次性使用腔镜吻合器及组件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NPTR6048C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一次性使用切口牵开固定器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2230-220/250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一次性使用切口牵开固定器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一次性使用切口牵开固定器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130-120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一次性使用清创缝合包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200包/箱</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一次性使用取物袋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AKYQWB-80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一次性使用取物袋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AKYQWB-100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一次性使用全麻组件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一次性使用全麻组件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一次性使用全麻组件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一次性使用全麻组件（ICU）</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一次性使用全麻组件（ICU）</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一次性使用热湿交换过滤器（人工鼻）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一次性使用乳胶胆管引流管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一次性使用三腔双囊胃管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一次性使用纱布垫</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30*40*4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一次性使用湿热交换过滤器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（人工鼻）成人</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一次性使用手术衣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一次性使用输氧面罩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成人型大号L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一次性使用输氧面罩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成人型大号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一次性使用输液器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一次性使用输液器WP-BV3</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WP-BV3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一次性使用输注泵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ZT-Z/5-B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一次性使用外科口罩系绳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平面型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一次性使用无菌导尿管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一次性使用无菌导尿管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双腔气囊标准型12FR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一次性使用无菌导尿管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双腔气囊标准型16F</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一次性使用无菌导尿管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双腔蛆娘标准型14F</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10X15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一次性使用无菌气管插管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7.5#带囊</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一次性使用无菌阴道扩张器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20ml紧急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50ml紧急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一次性使用无菌注射器带针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一次性使用无菌注射器带针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一次性使用无菌注射器带针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一次性使用无菌注射器带针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一次性使用无球囊导尿管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F16红管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一次性使用吸痰管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一次性使用吸痰管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F16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一次性使用吸引管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一次性使用橡胶检查手套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无粉麻面中号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一次性使用心电电极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915T50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一次性使用心电电极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50只/包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一次性使用心电电极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JK-I(A-H)型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一次性使用胸腔闭式引流瓶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一次性使用压力连接管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一次性使用压力延长管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0.8*27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一次性使用腰硬联合麻醉穿刺包套件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AS-E/S</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普通平面型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平面型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一次性使用医用透明敷贴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一次性使用医用透明敷贴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一次性使用医用透明贴膜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一次性使用医用透明贴膜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一次性使用引流袋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一次性使用引流管及附件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7.8MM(F26)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一次性使用引流管及附件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7.0MM（F22）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一次性使用引流管及附件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9.0MM9（F28）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一次性使用有创压力监测传感器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TR-DPI-248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一次性使用直线切割吻合器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NPTR10048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一次性使用直线切割吻合器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NPTR6048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一次性使用直线切割吻合器及组件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NPTR10048C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一次性使用直线切割吻合器及组件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NPTR6048C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一次性使用植入式给药装置留置针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865234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一次性使用止血带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A型 50条/盒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50X60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100X200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100*240cm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120*220cm（带松紧）</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40cm*50cm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10cm*200cm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60*80cm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50cm*60cm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一次性使用中心静脉导管包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1-16Ga-20cm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一次性使用中心静脉导管包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2-7FR-20cm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一次性使用中性极板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NP2单极</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一次性视频喉镜片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一次性视频喉镜片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一次性视频喉镜片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一次性输液器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WP-BV3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一次性塑料试管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12*75mm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一次性痰杯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一次性套扎器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CCTZA-4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一次性头皮针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一次性头皮针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一次性头皮针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0.6*25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一次性头皮针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0.55*19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一次性胃肠减压器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简型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一次性胃镜活检钳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2.3*1600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一次性无菌腹腔引流导管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弯型10Fr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一次性无菌腹腔引流到管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弯型10Fr</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一次性无菌旋塞</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三通旋塞</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一次性无菌注射器带针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1ml急购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一次性吸氧面罩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成人型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一次性胸腔穿刺包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一次性血管造影手术包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一次性牙垫</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一次性医药棉签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120*120cm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一次性医用包布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100*100cm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紧急采购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短  紧急</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一次性医用棉签（长）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一次性医用外科口罩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系绳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一次性医用旋塞</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三通旋塞</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一次性直线切割吻合器订仓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NPTR10048C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一次性直线切割吻合器及钉仓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NPTR6048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一次性直线切割型吻合器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NPTR10048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一次性注射针（MHI）</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04448340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一次性组织闭合夹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L-6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一次性组织闭合夹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M-6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医疗废液收集装置</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医疗垃圾桶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30L加厚型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医疗垃圾桶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20L中投</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医疗垃圾桶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50L加厚脚踩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医用冰箱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HYCD-290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医用超声耦合剂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医用导电膏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CT10  100g</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医用碘伏棉签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医用防护口罩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立体折叠型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6*14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医用缝合针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组合套针（剖腹8支装）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医用隔离护目镜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BM-02开放型可排气</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I型面罩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医用隔离面罩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II型35cm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TT型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医用隔离眼罩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护目镜型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医用几丁糖</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喷涂型1.5ml/支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腔镜型1.5Ml/支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医用酒精棉签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50支/瓶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医用酒精棉签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医用聚乙二醇小檗碱液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医用垃圾袋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30L配套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医用垃圾袋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70L配套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医用垃圾桶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医用垃圾桶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医用冷藏箱（低温冷藏）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DW-25l92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医用冷藏箱（嵌入式）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HYC-68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医用冷藏箱（医用血液）</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HXC-158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10cn</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医用面罩式雾化器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B型8，L标准成人型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14cm横齿敷料</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医用砂轮片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常规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医用输液瓶口贴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400片/盒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医用输液贴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70mm*35mm 200片/盒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医用输液贴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70mm*35mm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医用钛夹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医用脱脂纱布块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医用脱脂纱布块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显影10*10*8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医用脱脂纱布块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6*6*8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医用脱脂纱布块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显影6*6*8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医用脱脂纱布块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40cm*40cm*4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医用外科口罩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平面型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医用外科口罩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10片/包</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医用无菌防护套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20cm*200cm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10cm*25cm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医用无菌敷贴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10*15CM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医用氧气袋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72*45 42L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医用一次性防护服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医用一次性防护服</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I型连体式180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医用真丝非吸收缝线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医用真丝非吸收缝线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医用真丝非吸收缝线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医用真丝非吸收缝线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200-100UI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20-200UI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移液器吸嘴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500支/盒  200-1000UI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移液器吸嘴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500支/盒  5-50UI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移液器吸嘴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500支/包   1-10UI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乙肝表面抗原</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乙肝表面抗原试剂（HBgAg）</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乙肝两对半五项定性</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25T/盒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乙型肝炎病毒表面抗原(HBsAg)检测试剂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100人份</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乙型肝炎病毒表面抗原、表面抗体、E抗体、E抗原、核心抗体、检测试剂（胶体金法）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卡式25人份*28mm/全血/血清/血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乙型肝炎病毒表面抗原、抗体、e抗原、e抗体、核心抗体检测试剂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乙型肝炎病毒表面抗原/抗体/E抗原/E抗体/核心抗体体检测试剂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25人份/盒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乙型肝炎病毒表面抗原检测试剂（胶乳法）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筒装100TS/25条/筒*4筒/全血、血</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异常值凝血质控品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105-017127-00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阴道拉钩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220*36*110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阴道拉钩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180*30*100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阴道压板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250*30*35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引流导管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ULT8.6-38-25-P-6S-CLM-RH</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引流导管及附件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DC-0820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院内出诊箱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院外出诊箱</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16寸</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约束带（胸带、四肢）</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标准配置</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载玻片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50张/盒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载玻片（磨砂）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7105/1-1.2mm/（50片/盒）</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造口袋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2039057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造口底盘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25-57mm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造口底盘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2030057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RF*DG35008M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RF*GA35153M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451-503H5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RF*DG95007M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血管内（肝管）RF*DG35008M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5FC2（COBRA）</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5F亚西落（YSRIO）</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5F西蒙（SIM）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PF*DG35008M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HND5.0-58-80-P-NS-MI</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造影导管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451-514H0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增加百叶口</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800*800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长效热敏打印纸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宽57mm，直径35mm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真空采血管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紫黄红蓝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振荡器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XK96-4型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正常值凝血质控品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105-017126-00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正压接头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输注接头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脂肪酶LIP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105-001537-00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脂类校准品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105-001106-00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直接胆红素（D-Bil）测定试剂盒（钒酸盐氧化法）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BS200/160ml1：R1:4*35ml+R2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直接胆红素D-Bi1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直接胆红素D-Bil120系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105-000455-00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植入式给药装置专用针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04448340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植入式输液港型中心静脉导管及套件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0603880C</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14cm直全齿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12.5直全齿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23CM普通弯全齿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125弯纹全齿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125直纹全齿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20cm直有钩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22cm全弯齿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14cm弯无勾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16cm直全齿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12.5cm直全齿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12.5cm弯全齿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质控血清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质控血清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中值5ml/瓶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治疗车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双程双抽行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治疗巾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60*80cm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治疗盘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20*30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治疗盘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配弯盘</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痔漏探针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18CM双头球2.5/环银</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120*150cm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贮液装置</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贮液装置</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注射泵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单通HY-900B</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5*330胃</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5.335短嘴弹簧柄</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10*300无创</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10*330细齿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10*300大型</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5*300肠中</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抓钳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5*330胃单</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子宫附件钳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270头圆弯R12*28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子宫刮匙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子宫刮匙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子宫刮匙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25CM弯有钩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210*90*55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子宫夹持钳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250弯.双爪</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20CM弯头宽8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子宫颈活体取样钳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子宫颈钳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250弯3*4齿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23.5CM凹60*85双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子宫探针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280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子宫息肉钳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250*6弯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子双翼阴道检查扩张器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100*32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紫外线灯（移动式）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ZXD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紫外线杀菌灯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ZW30S/19W/Y</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紫外线消毒车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FY-30DC（带灯管）</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总胆固醇TC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总胆固醇TG120系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105-000448-00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总胆红素（T-BII）测定试剂盒（钒酸盐氧化法）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BS200/176ml1：R1：4*35ml+R2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总胆红素T-Bi1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总胆红素T-Bil120系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105-000454-00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总胆汁酸（TBA）测定试剂盒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BS200/72ml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总胆汁酸TBA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总胆汁酸TBA120系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105-000456-00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总蛋白（TP）测定试剂盒（双缩凝法）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BS200/160ml1：R1:4*40ml</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总蛋白TP120系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总蛋白TR  120系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105-000451-00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33CM支剪单动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33CM弯剪单动</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250mm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18cm弯</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16cm普通头宽5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滑板式40CMH10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同向直角/直角2*1WD</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同向直角2*1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通向直角折角2*1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22CM直型凹凸齿1.8*3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16cm直型1*2钩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14cm直型1*勾</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32CM滑板式弯H10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1109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42CM滑板式圈形弯有锁牙横齿</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14cm普通头宽5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24cm直有钩</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组织钳</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160三角头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75%酒精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B2-微球蛋白（B2-MC II）测定试剂盒（含校准品）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贝阳WM300一拖二录音话筒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避光袋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1119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便隐血（FOB)检验试剂（免疫层析法）带盐水瓶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不锈钢排钩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不锈钢器械台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采艺采绝A3打印机（工作台）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测试针管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除油剂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大便杯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电胶布</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电子台秤</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多功能试管架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1129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额温枪</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二氧化碳新瓶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法兰盘</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辅料</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妇科检查床</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腹巾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高温手套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管道清理机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硅汁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肩胛骨拉钩</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1139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胶手套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进样杯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净化器架子</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酒精灯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肋骨合拢器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淋浴混合水阀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名生牌泡腾消毒片</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磨光机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尿酸（UA)测定试剂盒（尿酸酶-过氧化物酶法）</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尿液分析仪试纸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1149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凝血酶时间PT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凝血酶时间TT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泡沫胶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喷水壶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强生婴儿润肤油</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软化树脂再生剂</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扇形器械台</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神牛热靴闪光灯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湿化瓶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手电钻</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1159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手消架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输液加压袋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输液架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双通道注射泵</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四通衡洗阀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台式机</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天然乳胶避孕套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托盘架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拖把器下水道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弯头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1169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温湿度计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纤维蛋白原（FIB）测定试剂盒（液体）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纤维蛋白原FIB</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安尔碘（碘伏）</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消毒车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消毒柜</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小便器</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碘伏消毒棉签</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多项尿液化学分析控制品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防水创可贴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1179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压肠板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压敏胶袋PE透气型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压舌板</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羊角钉锤</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高压放电棒</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活化部分凝血活酶时间APTT</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检查手套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胶手套无毛</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口取纸</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一次性活检针</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1189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一次性尿杯</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一次性使用换药护理包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一次性使用静脉导管护理组件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一次性使用口咽通气道</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一次性使用麻醉呼吸管路组件</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一次性使用灭菌橡胶外科手套</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一次性使用手术包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一次性使用心电电极</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医用胶带透明通气型</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1198</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医用输液瓶口贴</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1199</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移动台式电脑落地推车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1200</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造口护肤粉</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1201</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增加泄压阀</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1202</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扎带压脉带一次性</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1203</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折叠椅</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1204</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直尺60CM</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1205</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止血带</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1206</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主装机25/16G/120G+1T/DVD/1050tai27寸AOC</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1207</w:t>
            </w:r>
          </w:p>
        </w:tc>
        <w:tc>
          <w:tcPr>
            <w:tcW w:w="3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紫外线卡</w:t>
            </w:r>
          </w:p>
        </w:tc>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92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075"/>
              </w:tabs>
              <w:jc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b/>
                <w:bCs/>
                <w:i w:val="0"/>
                <w:iCs w:val="0"/>
                <w:color w:val="000000"/>
                <w:sz w:val="32"/>
                <w:szCs w:val="32"/>
                <w:u w:val="none"/>
                <w:lang w:val="en-US" w:eastAsia="zh-CN"/>
              </w:rPr>
              <w:t>备注：以上清单内容及以上同类产品均可以投标</w:t>
            </w:r>
          </w:p>
        </w:tc>
      </w:tr>
    </w:tbl>
    <w:p>
      <w:pPr>
        <w:pStyle w:val="55"/>
      </w:pPr>
    </w:p>
    <w:sectPr>
      <w:footerReference r:id="rId17" w:type="default"/>
      <w:pgSz w:w="11906" w:h="16838"/>
      <w:pgMar w:top="1418" w:right="1418" w:bottom="1418" w:left="1418" w:header="737" w:footer="737"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MT">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Calisto MT">
    <w:altName w:val="Segoe Print"/>
    <w:panose1 w:val="0204060305050503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9442" w:yAlign="center"/>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- 1 -</w:t>
    </w:r>
    <w:r>
      <w:rPr>
        <w:rFonts w:ascii="宋体" w:hAnsi="宋体"/>
        <w:sz w:val="28"/>
        <w:szCs w:val="28"/>
      </w:rPr>
      <w:fldChar w:fldCharType="end"/>
    </w:r>
  </w:p>
  <w:p>
    <w:pPr>
      <w:pStyle w:val="21"/>
      <w:ind w:right="360"/>
      <w:jc w:val="center"/>
    </w:pPr>
  </w:p>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page" w:x="1892" w:y="21"/>
      <w:rPr>
        <w:rStyle w:val="34"/>
        <w:rFonts w:ascii="宋体"/>
        <w:sz w:val="28"/>
        <w:szCs w:val="28"/>
      </w:rPr>
    </w:pPr>
    <w:r>
      <w:rPr>
        <w:rFonts w:ascii="宋体" w:hAnsi="宋体"/>
        <w:sz w:val="28"/>
        <w:szCs w:val="28"/>
      </w:rPr>
      <w:fldChar w:fldCharType="begin"/>
    </w:r>
    <w:r>
      <w:rPr>
        <w:rStyle w:val="34"/>
        <w:rFonts w:ascii="宋体" w:hAnsi="宋体"/>
        <w:sz w:val="28"/>
        <w:szCs w:val="28"/>
      </w:rPr>
      <w:instrText xml:space="preserve">PAGE  </w:instrText>
    </w:r>
    <w:r>
      <w:rPr>
        <w:rFonts w:ascii="宋体" w:hAnsi="宋体"/>
        <w:sz w:val="28"/>
        <w:szCs w:val="28"/>
      </w:rPr>
      <w:fldChar w:fldCharType="separate"/>
    </w:r>
    <w:r>
      <w:rPr>
        <w:rStyle w:val="34"/>
        <w:rFonts w:ascii="宋体" w:hAnsi="宋体"/>
        <w:sz w:val="28"/>
        <w:szCs w:val="28"/>
      </w:rPr>
      <w:t>- 8 -</w:t>
    </w:r>
    <w:r>
      <w:rPr>
        <w:rFonts w:ascii="宋体" w:hAnsi="宋体"/>
        <w:sz w:val="28"/>
        <w:szCs w:val="28"/>
      </w:rPr>
      <w:fldChar w:fldCharType="end"/>
    </w:r>
  </w:p>
  <w:p>
    <w:pPr>
      <w:pStyle w:val="2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17567"/>
      <w:docPartObj>
        <w:docPartGallery w:val="autotext"/>
      </w:docPartObj>
    </w:sdtPr>
    <w:sdtContent>
      <w:p>
        <w:pPr>
          <w:pStyle w:val="21"/>
          <w:jc w:val="center"/>
        </w:pPr>
        <w:r>
          <w:fldChar w:fldCharType="begin"/>
        </w:r>
        <w:r>
          <w:instrText xml:space="preserve"> PAGE   \* MERGEFORMAT </w:instrText>
        </w:r>
        <w:r>
          <w:fldChar w:fldCharType="separate"/>
        </w:r>
        <w:r>
          <w:rPr>
            <w:lang w:val="zh-CN"/>
          </w:rPr>
          <w:t>41</w:t>
        </w:r>
        <w:r>
          <w:rPr>
            <w:lang w:val="zh-CN"/>
          </w:rPr>
          <w:fldChar w:fldCharType="end"/>
        </w:r>
      </w:p>
    </w:sdtContent>
  </w:sdt>
  <w:p>
    <w:pPr>
      <w:pStyle w:val="2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4"/>
      </w:rPr>
    </w:pPr>
    <w:r>
      <w:fldChar w:fldCharType="begin"/>
    </w:r>
    <w:r>
      <w:rPr>
        <w:rStyle w:val="34"/>
      </w:rPr>
      <w:instrText xml:space="preserve">PAGE  </w:instrText>
    </w:r>
    <w:r>
      <w:fldChar w:fldCharType="end"/>
    </w:r>
  </w:p>
  <w:p>
    <w:pPr>
      <w:pStyle w:val="2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8"/>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pStyle w:val="21"/>
                          </w:pPr>
                          <w:r>
                            <w:fldChar w:fldCharType="begin"/>
                          </w:r>
                          <w:r>
                            <w:instrText xml:space="preserve"> PAGE  \* MERGEFORMAT </w:instrText>
                          </w:r>
                          <w:r>
                            <w:fldChar w:fldCharType="separate"/>
                          </w:r>
                          <w:r>
                            <w:t>165</w:t>
                          </w:r>
                          <w: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AzHgNQAAAADAQAADwAAAAAAAAABACAAAAAi&#10;AAAAZHJzL2Rvd25yZXYueG1sUEsBAhQAFAAAAAgAh07iQHsYjLjVAQAAowMAAA4AAAAAAAAAAQAg&#10;AAAAIwEAAGRycy9lMm9Eb2MueG1sUEsFBgAAAAAGAAYAWQEAAGoFAAAAAA==&#10;">
              <v:fill on="f" focussize="0,0"/>
              <v:stroke on="f" weight="1.2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165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D"/>
    <w:multiLevelType w:val="multilevel"/>
    <w:tmpl w:val="0000000D"/>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japaneseCounting"/>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006"/>
    <w:rsid w:val="00003796"/>
    <w:rsid w:val="00007CDC"/>
    <w:rsid w:val="00010886"/>
    <w:rsid w:val="0001315A"/>
    <w:rsid w:val="000140AC"/>
    <w:rsid w:val="000154B1"/>
    <w:rsid w:val="00015F7A"/>
    <w:rsid w:val="0001783B"/>
    <w:rsid w:val="00017A31"/>
    <w:rsid w:val="00023A27"/>
    <w:rsid w:val="00025043"/>
    <w:rsid w:val="00030DE9"/>
    <w:rsid w:val="000313D2"/>
    <w:rsid w:val="000350CF"/>
    <w:rsid w:val="000352F6"/>
    <w:rsid w:val="00035F16"/>
    <w:rsid w:val="00037262"/>
    <w:rsid w:val="00040DC9"/>
    <w:rsid w:val="000425AB"/>
    <w:rsid w:val="00043581"/>
    <w:rsid w:val="000449EE"/>
    <w:rsid w:val="00045CEC"/>
    <w:rsid w:val="00045EB1"/>
    <w:rsid w:val="00046014"/>
    <w:rsid w:val="000472EF"/>
    <w:rsid w:val="00047B53"/>
    <w:rsid w:val="00047F8F"/>
    <w:rsid w:val="000507ED"/>
    <w:rsid w:val="00052D92"/>
    <w:rsid w:val="00056AC5"/>
    <w:rsid w:val="0006350B"/>
    <w:rsid w:val="000648E4"/>
    <w:rsid w:val="00071915"/>
    <w:rsid w:val="00077AEC"/>
    <w:rsid w:val="00077F83"/>
    <w:rsid w:val="000801BD"/>
    <w:rsid w:val="0008433D"/>
    <w:rsid w:val="0008453B"/>
    <w:rsid w:val="00084DEB"/>
    <w:rsid w:val="00085C30"/>
    <w:rsid w:val="000925A8"/>
    <w:rsid w:val="00094142"/>
    <w:rsid w:val="00096DB3"/>
    <w:rsid w:val="000A1470"/>
    <w:rsid w:val="000A3225"/>
    <w:rsid w:val="000A5CE1"/>
    <w:rsid w:val="000A72F5"/>
    <w:rsid w:val="000B2C1B"/>
    <w:rsid w:val="000B30D6"/>
    <w:rsid w:val="000B4DF0"/>
    <w:rsid w:val="000B501D"/>
    <w:rsid w:val="000B6FDF"/>
    <w:rsid w:val="000C019C"/>
    <w:rsid w:val="000C6083"/>
    <w:rsid w:val="000D04A9"/>
    <w:rsid w:val="000D50C0"/>
    <w:rsid w:val="000D5D83"/>
    <w:rsid w:val="000E0EC4"/>
    <w:rsid w:val="000E16FC"/>
    <w:rsid w:val="000E5093"/>
    <w:rsid w:val="000E5A95"/>
    <w:rsid w:val="000E7A99"/>
    <w:rsid w:val="000F3CF9"/>
    <w:rsid w:val="000F3E0A"/>
    <w:rsid w:val="000F68B2"/>
    <w:rsid w:val="001024D4"/>
    <w:rsid w:val="00102CB9"/>
    <w:rsid w:val="001037B8"/>
    <w:rsid w:val="00103DB8"/>
    <w:rsid w:val="00105AF6"/>
    <w:rsid w:val="001074C3"/>
    <w:rsid w:val="0010771A"/>
    <w:rsid w:val="001102B3"/>
    <w:rsid w:val="001112E0"/>
    <w:rsid w:val="00111825"/>
    <w:rsid w:val="001139FB"/>
    <w:rsid w:val="00121509"/>
    <w:rsid w:val="00123A09"/>
    <w:rsid w:val="00125288"/>
    <w:rsid w:val="00125634"/>
    <w:rsid w:val="00130514"/>
    <w:rsid w:val="0013154E"/>
    <w:rsid w:val="00131F91"/>
    <w:rsid w:val="00132B76"/>
    <w:rsid w:val="00132BA2"/>
    <w:rsid w:val="001336BB"/>
    <w:rsid w:val="00137946"/>
    <w:rsid w:val="00137B80"/>
    <w:rsid w:val="0014163B"/>
    <w:rsid w:val="00142D47"/>
    <w:rsid w:val="001516BB"/>
    <w:rsid w:val="001526F0"/>
    <w:rsid w:val="001628E0"/>
    <w:rsid w:val="00167F1B"/>
    <w:rsid w:val="001725D3"/>
    <w:rsid w:val="00172A27"/>
    <w:rsid w:val="00173CBB"/>
    <w:rsid w:val="0017463A"/>
    <w:rsid w:val="00176AD0"/>
    <w:rsid w:val="00177719"/>
    <w:rsid w:val="00185389"/>
    <w:rsid w:val="00187332"/>
    <w:rsid w:val="001876C2"/>
    <w:rsid w:val="0019072B"/>
    <w:rsid w:val="00191BF0"/>
    <w:rsid w:val="00196B0A"/>
    <w:rsid w:val="0019748D"/>
    <w:rsid w:val="001B0A64"/>
    <w:rsid w:val="001B0F1B"/>
    <w:rsid w:val="001B11CB"/>
    <w:rsid w:val="001B347E"/>
    <w:rsid w:val="001B4F11"/>
    <w:rsid w:val="001B571D"/>
    <w:rsid w:val="001B7B65"/>
    <w:rsid w:val="001C2374"/>
    <w:rsid w:val="001C6E0E"/>
    <w:rsid w:val="001D0D90"/>
    <w:rsid w:val="001D1BA7"/>
    <w:rsid w:val="001D3AE6"/>
    <w:rsid w:val="001D69DB"/>
    <w:rsid w:val="001E1FB4"/>
    <w:rsid w:val="001E4E5D"/>
    <w:rsid w:val="001E6D64"/>
    <w:rsid w:val="001F0739"/>
    <w:rsid w:val="001F2667"/>
    <w:rsid w:val="001F5A5F"/>
    <w:rsid w:val="001F6BB6"/>
    <w:rsid w:val="001F7EBF"/>
    <w:rsid w:val="002015FB"/>
    <w:rsid w:val="00202FDC"/>
    <w:rsid w:val="0020366D"/>
    <w:rsid w:val="00204C4D"/>
    <w:rsid w:val="00206F03"/>
    <w:rsid w:val="00207AD7"/>
    <w:rsid w:val="00207F97"/>
    <w:rsid w:val="00211C93"/>
    <w:rsid w:val="0021301C"/>
    <w:rsid w:val="00213DE5"/>
    <w:rsid w:val="00214C75"/>
    <w:rsid w:val="00215411"/>
    <w:rsid w:val="00220652"/>
    <w:rsid w:val="00225EC3"/>
    <w:rsid w:val="00237EBA"/>
    <w:rsid w:val="0024006B"/>
    <w:rsid w:val="0024240B"/>
    <w:rsid w:val="00247373"/>
    <w:rsid w:val="002474C4"/>
    <w:rsid w:val="002514C1"/>
    <w:rsid w:val="00252EBA"/>
    <w:rsid w:val="00254162"/>
    <w:rsid w:val="00254AAB"/>
    <w:rsid w:val="00255EAA"/>
    <w:rsid w:val="00263CC3"/>
    <w:rsid w:val="002718F7"/>
    <w:rsid w:val="00272275"/>
    <w:rsid w:val="0027236E"/>
    <w:rsid w:val="00272DD5"/>
    <w:rsid w:val="0027319A"/>
    <w:rsid w:val="00275885"/>
    <w:rsid w:val="002769CF"/>
    <w:rsid w:val="002777BB"/>
    <w:rsid w:val="00277E25"/>
    <w:rsid w:val="00281078"/>
    <w:rsid w:val="00282637"/>
    <w:rsid w:val="0028378A"/>
    <w:rsid w:val="00285695"/>
    <w:rsid w:val="0028661A"/>
    <w:rsid w:val="002A3F4C"/>
    <w:rsid w:val="002A3FC1"/>
    <w:rsid w:val="002A68FB"/>
    <w:rsid w:val="002B0566"/>
    <w:rsid w:val="002B0D7A"/>
    <w:rsid w:val="002B59E8"/>
    <w:rsid w:val="002B66F6"/>
    <w:rsid w:val="002B7F04"/>
    <w:rsid w:val="002C2313"/>
    <w:rsid w:val="002C2BA9"/>
    <w:rsid w:val="002C5A1C"/>
    <w:rsid w:val="002C5B30"/>
    <w:rsid w:val="002C710F"/>
    <w:rsid w:val="002C749E"/>
    <w:rsid w:val="002D0371"/>
    <w:rsid w:val="002D1641"/>
    <w:rsid w:val="002D62F4"/>
    <w:rsid w:val="002E0F61"/>
    <w:rsid w:val="002E1659"/>
    <w:rsid w:val="002E1F95"/>
    <w:rsid w:val="002F1F7F"/>
    <w:rsid w:val="002F284A"/>
    <w:rsid w:val="002F37AB"/>
    <w:rsid w:val="00300DA9"/>
    <w:rsid w:val="00303B81"/>
    <w:rsid w:val="00303C3E"/>
    <w:rsid w:val="00305D80"/>
    <w:rsid w:val="0030742B"/>
    <w:rsid w:val="00311F98"/>
    <w:rsid w:val="00312970"/>
    <w:rsid w:val="003141ED"/>
    <w:rsid w:val="0031470C"/>
    <w:rsid w:val="00315D15"/>
    <w:rsid w:val="00317525"/>
    <w:rsid w:val="003222C4"/>
    <w:rsid w:val="0032251C"/>
    <w:rsid w:val="003237AF"/>
    <w:rsid w:val="00324068"/>
    <w:rsid w:val="0032513F"/>
    <w:rsid w:val="003279F0"/>
    <w:rsid w:val="00331692"/>
    <w:rsid w:val="003319F0"/>
    <w:rsid w:val="00334E4E"/>
    <w:rsid w:val="00337383"/>
    <w:rsid w:val="00342BCD"/>
    <w:rsid w:val="00352C1F"/>
    <w:rsid w:val="00363CE7"/>
    <w:rsid w:val="00365F99"/>
    <w:rsid w:val="00366A74"/>
    <w:rsid w:val="00370AEC"/>
    <w:rsid w:val="003762D1"/>
    <w:rsid w:val="00377104"/>
    <w:rsid w:val="0038076D"/>
    <w:rsid w:val="00380CE1"/>
    <w:rsid w:val="00383BEA"/>
    <w:rsid w:val="00386500"/>
    <w:rsid w:val="00394442"/>
    <w:rsid w:val="003953FA"/>
    <w:rsid w:val="003957C0"/>
    <w:rsid w:val="003A025D"/>
    <w:rsid w:val="003A0571"/>
    <w:rsid w:val="003A091F"/>
    <w:rsid w:val="003A2614"/>
    <w:rsid w:val="003A2755"/>
    <w:rsid w:val="003A3271"/>
    <w:rsid w:val="003A3678"/>
    <w:rsid w:val="003B1062"/>
    <w:rsid w:val="003B1E23"/>
    <w:rsid w:val="003B1F24"/>
    <w:rsid w:val="003B31BB"/>
    <w:rsid w:val="003B77A3"/>
    <w:rsid w:val="003B7AB3"/>
    <w:rsid w:val="003C01DA"/>
    <w:rsid w:val="003C35B8"/>
    <w:rsid w:val="003C7DAB"/>
    <w:rsid w:val="003D210D"/>
    <w:rsid w:val="003D77A4"/>
    <w:rsid w:val="003E1E29"/>
    <w:rsid w:val="003E437D"/>
    <w:rsid w:val="003E4E8E"/>
    <w:rsid w:val="003E7BEC"/>
    <w:rsid w:val="003F3683"/>
    <w:rsid w:val="003F4325"/>
    <w:rsid w:val="003F497C"/>
    <w:rsid w:val="003F4B1D"/>
    <w:rsid w:val="003F4DD6"/>
    <w:rsid w:val="0040116D"/>
    <w:rsid w:val="00401BF9"/>
    <w:rsid w:val="004057AF"/>
    <w:rsid w:val="00406D1B"/>
    <w:rsid w:val="00407FBD"/>
    <w:rsid w:val="00412C6B"/>
    <w:rsid w:val="00412FCD"/>
    <w:rsid w:val="004145BE"/>
    <w:rsid w:val="0041498B"/>
    <w:rsid w:val="00415AAF"/>
    <w:rsid w:val="00416FF3"/>
    <w:rsid w:val="00424052"/>
    <w:rsid w:val="00426D05"/>
    <w:rsid w:val="004276B5"/>
    <w:rsid w:val="00430EA9"/>
    <w:rsid w:val="0043289A"/>
    <w:rsid w:val="00433877"/>
    <w:rsid w:val="0043471D"/>
    <w:rsid w:val="00434EC6"/>
    <w:rsid w:val="00440B7C"/>
    <w:rsid w:val="00441B0C"/>
    <w:rsid w:val="0044250B"/>
    <w:rsid w:val="00444A3F"/>
    <w:rsid w:val="00452ED1"/>
    <w:rsid w:val="00457063"/>
    <w:rsid w:val="00460225"/>
    <w:rsid w:val="00460CB3"/>
    <w:rsid w:val="00463C55"/>
    <w:rsid w:val="004651E5"/>
    <w:rsid w:val="004676B7"/>
    <w:rsid w:val="00470002"/>
    <w:rsid w:val="00472BE0"/>
    <w:rsid w:val="00474CC0"/>
    <w:rsid w:val="004750D7"/>
    <w:rsid w:val="00480552"/>
    <w:rsid w:val="0048251F"/>
    <w:rsid w:val="004825CE"/>
    <w:rsid w:val="0048370A"/>
    <w:rsid w:val="00485ADE"/>
    <w:rsid w:val="00491301"/>
    <w:rsid w:val="00491726"/>
    <w:rsid w:val="00495AD5"/>
    <w:rsid w:val="004A1162"/>
    <w:rsid w:val="004A2FC8"/>
    <w:rsid w:val="004A4F74"/>
    <w:rsid w:val="004A6071"/>
    <w:rsid w:val="004A676C"/>
    <w:rsid w:val="004A69EE"/>
    <w:rsid w:val="004B227E"/>
    <w:rsid w:val="004B350A"/>
    <w:rsid w:val="004B3618"/>
    <w:rsid w:val="004C5E3A"/>
    <w:rsid w:val="004C6B96"/>
    <w:rsid w:val="004D3542"/>
    <w:rsid w:val="004E2251"/>
    <w:rsid w:val="004E2D4D"/>
    <w:rsid w:val="004E3313"/>
    <w:rsid w:val="004E7C3A"/>
    <w:rsid w:val="004F0B47"/>
    <w:rsid w:val="004F18BB"/>
    <w:rsid w:val="004F25A9"/>
    <w:rsid w:val="004F3998"/>
    <w:rsid w:val="004F787B"/>
    <w:rsid w:val="005044C5"/>
    <w:rsid w:val="00504645"/>
    <w:rsid w:val="005062D2"/>
    <w:rsid w:val="005066C8"/>
    <w:rsid w:val="00512B9A"/>
    <w:rsid w:val="005200CF"/>
    <w:rsid w:val="00525478"/>
    <w:rsid w:val="00525685"/>
    <w:rsid w:val="005274DC"/>
    <w:rsid w:val="0053176A"/>
    <w:rsid w:val="00532420"/>
    <w:rsid w:val="00532653"/>
    <w:rsid w:val="00535D24"/>
    <w:rsid w:val="00537FA6"/>
    <w:rsid w:val="0054308E"/>
    <w:rsid w:val="005452E1"/>
    <w:rsid w:val="00545794"/>
    <w:rsid w:val="00545CAB"/>
    <w:rsid w:val="00554E37"/>
    <w:rsid w:val="005564BD"/>
    <w:rsid w:val="005569A8"/>
    <w:rsid w:val="00557047"/>
    <w:rsid w:val="00562439"/>
    <w:rsid w:val="005626DC"/>
    <w:rsid w:val="00562800"/>
    <w:rsid w:val="00563405"/>
    <w:rsid w:val="00563917"/>
    <w:rsid w:val="00564012"/>
    <w:rsid w:val="00564844"/>
    <w:rsid w:val="00567A8D"/>
    <w:rsid w:val="00575828"/>
    <w:rsid w:val="00581406"/>
    <w:rsid w:val="005832AA"/>
    <w:rsid w:val="00585D16"/>
    <w:rsid w:val="00592930"/>
    <w:rsid w:val="005939D0"/>
    <w:rsid w:val="00594131"/>
    <w:rsid w:val="005965D9"/>
    <w:rsid w:val="005A34C5"/>
    <w:rsid w:val="005B1A59"/>
    <w:rsid w:val="005B2A89"/>
    <w:rsid w:val="005B508F"/>
    <w:rsid w:val="005B757B"/>
    <w:rsid w:val="005C1244"/>
    <w:rsid w:val="005C2470"/>
    <w:rsid w:val="005C3A44"/>
    <w:rsid w:val="005C4C85"/>
    <w:rsid w:val="005C57DA"/>
    <w:rsid w:val="005D35EE"/>
    <w:rsid w:val="005D7806"/>
    <w:rsid w:val="005E50D6"/>
    <w:rsid w:val="005E64C2"/>
    <w:rsid w:val="005E78EE"/>
    <w:rsid w:val="005F0D9D"/>
    <w:rsid w:val="005F28EC"/>
    <w:rsid w:val="005F3328"/>
    <w:rsid w:val="005F3727"/>
    <w:rsid w:val="005F60F9"/>
    <w:rsid w:val="00604330"/>
    <w:rsid w:val="0060591A"/>
    <w:rsid w:val="0060701D"/>
    <w:rsid w:val="00607A51"/>
    <w:rsid w:val="006100C0"/>
    <w:rsid w:val="00611CD3"/>
    <w:rsid w:val="00613384"/>
    <w:rsid w:val="00613A4D"/>
    <w:rsid w:val="00614C77"/>
    <w:rsid w:val="00615655"/>
    <w:rsid w:val="00615DB3"/>
    <w:rsid w:val="00616B53"/>
    <w:rsid w:val="006234E2"/>
    <w:rsid w:val="0063304D"/>
    <w:rsid w:val="00637A73"/>
    <w:rsid w:val="00637C6F"/>
    <w:rsid w:val="006415DF"/>
    <w:rsid w:val="006426BF"/>
    <w:rsid w:val="0064364B"/>
    <w:rsid w:val="00644A2C"/>
    <w:rsid w:val="00650615"/>
    <w:rsid w:val="00653EC0"/>
    <w:rsid w:val="0065600E"/>
    <w:rsid w:val="00657D3A"/>
    <w:rsid w:val="0066105A"/>
    <w:rsid w:val="00664AB1"/>
    <w:rsid w:val="00665D0C"/>
    <w:rsid w:val="00666398"/>
    <w:rsid w:val="00672C3E"/>
    <w:rsid w:val="00674962"/>
    <w:rsid w:val="0067523A"/>
    <w:rsid w:val="006811E5"/>
    <w:rsid w:val="0068179C"/>
    <w:rsid w:val="006835B6"/>
    <w:rsid w:val="00683F11"/>
    <w:rsid w:val="0068543F"/>
    <w:rsid w:val="006911AD"/>
    <w:rsid w:val="006A3D09"/>
    <w:rsid w:val="006A5618"/>
    <w:rsid w:val="006B052A"/>
    <w:rsid w:val="006B2953"/>
    <w:rsid w:val="006B563D"/>
    <w:rsid w:val="006B7498"/>
    <w:rsid w:val="006B74A7"/>
    <w:rsid w:val="006B79E3"/>
    <w:rsid w:val="006C459B"/>
    <w:rsid w:val="006C5054"/>
    <w:rsid w:val="006C7A98"/>
    <w:rsid w:val="006D00B3"/>
    <w:rsid w:val="006D7518"/>
    <w:rsid w:val="006E002C"/>
    <w:rsid w:val="006E49F4"/>
    <w:rsid w:val="006E70C8"/>
    <w:rsid w:val="006E7568"/>
    <w:rsid w:val="006F4293"/>
    <w:rsid w:val="006F4F9D"/>
    <w:rsid w:val="006F5219"/>
    <w:rsid w:val="006F6F3D"/>
    <w:rsid w:val="00700B2E"/>
    <w:rsid w:val="007021EF"/>
    <w:rsid w:val="00702A97"/>
    <w:rsid w:val="00703D53"/>
    <w:rsid w:val="007040C2"/>
    <w:rsid w:val="00704CEA"/>
    <w:rsid w:val="00706205"/>
    <w:rsid w:val="00710399"/>
    <w:rsid w:val="00723333"/>
    <w:rsid w:val="007248A1"/>
    <w:rsid w:val="007279C0"/>
    <w:rsid w:val="00731974"/>
    <w:rsid w:val="00736113"/>
    <w:rsid w:val="00741242"/>
    <w:rsid w:val="0074262B"/>
    <w:rsid w:val="00742859"/>
    <w:rsid w:val="00742AA9"/>
    <w:rsid w:val="00742C23"/>
    <w:rsid w:val="007431AC"/>
    <w:rsid w:val="0074360F"/>
    <w:rsid w:val="007458A5"/>
    <w:rsid w:val="007468BF"/>
    <w:rsid w:val="007475F5"/>
    <w:rsid w:val="0076303E"/>
    <w:rsid w:val="0076344B"/>
    <w:rsid w:val="00763FAF"/>
    <w:rsid w:val="00770979"/>
    <w:rsid w:val="00771298"/>
    <w:rsid w:val="00772B7E"/>
    <w:rsid w:val="00772F86"/>
    <w:rsid w:val="007806B2"/>
    <w:rsid w:val="00780D3B"/>
    <w:rsid w:val="00785D5B"/>
    <w:rsid w:val="00787176"/>
    <w:rsid w:val="00787EA8"/>
    <w:rsid w:val="007907A0"/>
    <w:rsid w:val="00793134"/>
    <w:rsid w:val="007940BA"/>
    <w:rsid w:val="007A58B4"/>
    <w:rsid w:val="007A630C"/>
    <w:rsid w:val="007A6598"/>
    <w:rsid w:val="007A7C0B"/>
    <w:rsid w:val="007B4639"/>
    <w:rsid w:val="007B4728"/>
    <w:rsid w:val="007B657C"/>
    <w:rsid w:val="007C0868"/>
    <w:rsid w:val="007C0B2A"/>
    <w:rsid w:val="007C1477"/>
    <w:rsid w:val="007C19C2"/>
    <w:rsid w:val="007C1A51"/>
    <w:rsid w:val="007C4EF8"/>
    <w:rsid w:val="007C640D"/>
    <w:rsid w:val="007D3967"/>
    <w:rsid w:val="007D3F2D"/>
    <w:rsid w:val="007D42F6"/>
    <w:rsid w:val="007D5D9A"/>
    <w:rsid w:val="007D6997"/>
    <w:rsid w:val="007D7377"/>
    <w:rsid w:val="007D7F9F"/>
    <w:rsid w:val="007E2D05"/>
    <w:rsid w:val="007E33A4"/>
    <w:rsid w:val="007E4A71"/>
    <w:rsid w:val="007E766C"/>
    <w:rsid w:val="007F2D5E"/>
    <w:rsid w:val="007F4A12"/>
    <w:rsid w:val="007F52DA"/>
    <w:rsid w:val="007F74D8"/>
    <w:rsid w:val="00800079"/>
    <w:rsid w:val="008015E0"/>
    <w:rsid w:val="008047C1"/>
    <w:rsid w:val="00806C61"/>
    <w:rsid w:val="008124C8"/>
    <w:rsid w:val="00813639"/>
    <w:rsid w:val="00815572"/>
    <w:rsid w:val="00815B59"/>
    <w:rsid w:val="00817045"/>
    <w:rsid w:val="00817D30"/>
    <w:rsid w:val="00822154"/>
    <w:rsid w:val="00823622"/>
    <w:rsid w:val="008239E3"/>
    <w:rsid w:val="00823C9A"/>
    <w:rsid w:val="0082676A"/>
    <w:rsid w:val="00827684"/>
    <w:rsid w:val="00827FBB"/>
    <w:rsid w:val="00831408"/>
    <w:rsid w:val="008327EF"/>
    <w:rsid w:val="00834B72"/>
    <w:rsid w:val="008354EA"/>
    <w:rsid w:val="0083576F"/>
    <w:rsid w:val="0083720A"/>
    <w:rsid w:val="00840061"/>
    <w:rsid w:val="00846603"/>
    <w:rsid w:val="008509C2"/>
    <w:rsid w:val="00853406"/>
    <w:rsid w:val="00862518"/>
    <w:rsid w:val="0086339B"/>
    <w:rsid w:val="00863A66"/>
    <w:rsid w:val="00863BEE"/>
    <w:rsid w:val="00864B73"/>
    <w:rsid w:val="00865566"/>
    <w:rsid w:val="00867EB2"/>
    <w:rsid w:val="00871746"/>
    <w:rsid w:val="008737F4"/>
    <w:rsid w:val="008744C6"/>
    <w:rsid w:val="00883901"/>
    <w:rsid w:val="008851D8"/>
    <w:rsid w:val="0088753E"/>
    <w:rsid w:val="00890179"/>
    <w:rsid w:val="00893540"/>
    <w:rsid w:val="00893FC3"/>
    <w:rsid w:val="008947CD"/>
    <w:rsid w:val="008A169F"/>
    <w:rsid w:val="008A2888"/>
    <w:rsid w:val="008A51C4"/>
    <w:rsid w:val="008B01E0"/>
    <w:rsid w:val="008B21DC"/>
    <w:rsid w:val="008B6A7C"/>
    <w:rsid w:val="008B7B8D"/>
    <w:rsid w:val="008C164F"/>
    <w:rsid w:val="008C3BA4"/>
    <w:rsid w:val="008C3E7D"/>
    <w:rsid w:val="008C4A37"/>
    <w:rsid w:val="008C6308"/>
    <w:rsid w:val="008C6D56"/>
    <w:rsid w:val="008C7F1F"/>
    <w:rsid w:val="008D1A66"/>
    <w:rsid w:val="008D7A3E"/>
    <w:rsid w:val="008E13C5"/>
    <w:rsid w:val="008F105C"/>
    <w:rsid w:val="008F164D"/>
    <w:rsid w:val="008F1938"/>
    <w:rsid w:val="008F3B0D"/>
    <w:rsid w:val="008F54E1"/>
    <w:rsid w:val="008F57C1"/>
    <w:rsid w:val="008F6A44"/>
    <w:rsid w:val="0090017D"/>
    <w:rsid w:val="009026B3"/>
    <w:rsid w:val="009058E3"/>
    <w:rsid w:val="00906F86"/>
    <w:rsid w:val="00913FAE"/>
    <w:rsid w:val="00920DEB"/>
    <w:rsid w:val="00921DD0"/>
    <w:rsid w:val="00923606"/>
    <w:rsid w:val="00925279"/>
    <w:rsid w:val="0092639F"/>
    <w:rsid w:val="0092682E"/>
    <w:rsid w:val="00926971"/>
    <w:rsid w:val="00942005"/>
    <w:rsid w:val="009449FD"/>
    <w:rsid w:val="00944BB4"/>
    <w:rsid w:val="009454B8"/>
    <w:rsid w:val="00947182"/>
    <w:rsid w:val="0094722B"/>
    <w:rsid w:val="009502AE"/>
    <w:rsid w:val="00954C15"/>
    <w:rsid w:val="00955AF4"/>
    <w:rsid w:val="00961D2F"/>
    <w:rsid w:val="0096275F"/>
    <w:rsid w:val="00967C8E"/>
    <w:rsid w:val="00970A39"/>
    <w:rsid w:val="00971794"/>
    <w:rsid w:val="009738A6"/>
    <w:rsid w:val="00975A41"/>
    <w:rsid w:val="00977E49"/>
    <w:rsid w:val="0098026A"/>
    <w:rsid w:val="009825DE"/>
    <w:rsid w:val="00983812"/>
    <w:rsid w:val="00983C63"/>
    <w:rsid w:val="00984C5F"/>
    <w:rsid w:val="00993023"/>
    <w:rsid w:val="00997A1B"/>
    <w:rsid w:val="009A289B"/>
    <w:rsid w:val="009A2AC2"/>
    <w:rsid w:val="009A5C1F"/>
    <w:rsid w:val="009B0A48"/>
    <w:rsid w:val="009B40B4"/>
    <w:rsid w:val="009B5184"/>
    <w:rsid w:val="009C03B2"/>
    <w:rsid w:val="009C11FE"/>
    <w:rsid w:val="009C4111"/>
    <w:rsid w:val="009C414A"/>
    <w:rsid w:val="009C50EC"/>
    <w:rsid w:val="009C5C95"/>
    <w:rsid w:val="009C6885"/>
    <w:rsid w:val="009D0CD5"/>
    <w:rsid w:val="009D5F65"/>
    <w:rsid w:val="009D6B08"/>
    <w:rsid w:val="009D7E0A"/>
    <w:rsid w:val="009E2922"/>
    <w:rsid w:val="009E44F1"/>
    <w:rsid w:val="009E52D4"/>
    <w:rsid w:val="009E6363"/>
    <w:rsid w:val="009E7958"/>
    <w:rsid w:val="009F20E1"/>
    <w:rsid w:val="009F2C8F"/>
    <w:rsid w:val="009F33F7"/>
    <w:rsid w:val="009F57B1"/>
    <w:rsid w:val="009F7E14"/>
    <w:rsid w:val="00A01EB6"/>
    <w:rsid w:val="00A05943"/>
    <w:rsid w:val="00A0596D"/>
    <w:rsid w:val="00A05DE7"/>
    <w:rsid w:val="00A138CA"/>
    <w:rsid w:val="00A16C31"/>
    <w:rsid w:val="00A210D2"/>
    <w:rsid w:val="00A2274E"/>
    <w:rsid w:val="00A329BE"/>
    <w:rsid w:val="00A33427"/>
    <w:rsid w:val="00A40BD1"/>
    <w:rsid w:val="00A43576"/>
    <w:rsid w:val="00A57F12"/>
    <w:rsid w:val="00A62863"/>
    <w:rsid w:val="00A64640"/>
    <w:rsid w:val="00A71058"/>
    <w:rsid w:val="00A71AB0"/>
    <w:rsid w:val="00A7388A"/>
    <w:rsid w:val="00A7528C"/>
    <w:rsid w:val="00A76484"/>
    <w:rsid w:val="00A81E98"/>
    <w:rsid w:val="00A821CD"/>
    <w:rsid w:val="00A82BBD"/>
    <w:rsid w:val="00A843DE"/>
    <w:rsid w:val="00A85B22"/>
    <w:rsid w:val="00A945F6"/>
    <w:rsid w:val="00A951B8"/>
    <w:rsid w:val="00AA1D68"/>
    <w:rsid w:val="00AA53C9"/>
    <w:rsid w:val="00AB14AC"/>
    <w:rsid w:val="00AB401A"/>
    <w:rsid w:val="00AB4876"/>
    <w:rsid w:val="00AB597B"/>
    <w:rsid w:val="00AB5DDB"/>
    <w:rsid w:val="00AB77B8"/>
    <w:rsid w:val="00AC4256"/>
    <w:rsid w:val="00AC4CF3"/>
    <w:rsid w:val="00AC4F90"/>
    <w:rsid w:val="00AC7167"/>
    <w:rsid w:val="00AD0D8C"/>
    <w:rsid w:val="00AD157A"/>
    <w:rsid w:val="00AD748D"/>
    <w:rsid w:val="00AE1C0B"/>
    <w:rsid w:val="00AE24A5"/>
    <w:rsid w:val="00AE3FCF"/>
    <w:rsid w:val="00AE4113"/>
    <w:rsid w:val="00AE78A5"/>
    <w:rsid w:val="00AE7E9F"/>
    <w:rsid w:val="00AF1868"/>
    <w:rsid w:val="00AF59C3"/>
    <w:rsid w:val="00AF7E65"/>
    <w:rsid w:val="00B034B9"/>
    <w:rsid w:val="00B045A0"/>
    <w:rsid w:val="00B04C31"/>
    <w:rsid w:val="00B053A6"/>
    <w:rsid w:val="00B10729"/>
    <w:rsid w:val="00B10948"/>
    <w:rsid w:val="00B11FB0"/>
    <w:rsid w:val="00B158A0"/>
    <w:rsid w:val="00B16C4F"/>
    <w:rsid w:val="00B2405E"/>
    <w:rsid w:val="00B244A5"/>
    <w:rsid w:val="00B26B78"/>
    <w:rsid w:val="00B35E80"/>
    <w:rsid w:val="00B3627E"/>
    <w:rsid w:val="00B4114F"/>
    <w:rsid w:val="00B4307B"/>
    <w:rsid w:val="00B43A94"/>
    <w:rsid w:val="00B464B8"/>
    <w:rsid w:val="00B53E64"/>
    <w:rsid w:val="00B54DEC"/>
    <w:rsid w:val="00B54F3F"/>
    <w:rsid w:val="00B54F4D"/>
    <w:rsid w:val="00B56866"/>
    <w:rsid w:val="00B6098B"/>
    <w:rsid w:val="00B63884"/>
    <w:rsid w:val="00B654AD"/>
    <w:rsid w:val="00B709D1"/>
    <w:rsid w:val="00B7218B"/>
    <w:rsid w:val="00B73171"/>
    <w:rsid w:val="00B74096"/>
    <w:rsid w:val="00B75232"/>
    <w:rsid w:val="00B771DB"/>
    <w:rsid w:val="00B807C8"/>
    <w:rsid w:val="00B815A7"/>
    <w:rsid w:val="00B82A56"/>
    <w:rsid w:val="00B8543F"/>
    <w:rsid w:val="00B8661C"/>
    <w:rsid w:val="00B913B1"/>
    <w:rsid w:val="00B944EF"/>
    <w:rsid w:val="00B9461B"/>
    <w:rsid w:val="00B9518E"/>
    <w:rsid w:val="00B951AD"/>
    <w:rsid w:val="00B96130"/>
    <w:rsid w:val="00B96394"/>
    <w:rsid w:val="00B9754C"/>
    <w:rsid w:val="00B97615"/>
    <w:rsid w:val="00B97EB8"/>
    <w:rsid w:val="00BA2BD2"/>
    <w:rsid w:val="00BA57A5"/>
    <w:rsid w:val="00BB0809"/>
    <w:rsid w:val="00BB64CB"/>
    <w:rsid w:val="00BC1A33"/>
    <w:rsid w:val="00BC2213"/>
    <w:rsid w:val="00BC6ACD"/>
    <w:rsid w:val="00BC73E4"/>
    <w:rsid w:val="00BD0EA0"/>
    <w:rsid w:val="00BD1550"/>
    <w:rsid w:val="00BD2A8E"/>
    <w:rsid w:val="00BD42C4"/>
    <w:rsid w:val="00BD7FF8"/>
    <w:rsid w:val="00BE5337"/>
    <w:rsid w:val="00BF3EF8"/>
    <w:rsid w:val="00BF599D"/>
    <w:rsid w:val="00C03B8C"/>
    <w:rsid w:val="00C113AB"/>
    <w:rsid w:val="00C12413"/>
    <w:rsid w:val="00C135F9"/>
    <w:rsid w:val="00C166BB"/>
    <w:rsid w:val="00C23F54"/>
    <w:rsid w:val="00C24DD8"/>
    <w:rsid w:val="00C24F0F"/>
    <w:rsid w:val="00C3232D"/>
    <w:rsid w:val="00C32A24"/>
    <w:rsid w:val="00C333FF"/>
    <w:rsid w:val="00C34847"/>
    <w:rsid w:val="00C35997"/>
    <w:rsid w:val="00C37899"/>
    <w:rsid w:val="00C41F68"/>
    <w:rsid w:val="00C42E6F"/>
    <w:rsid w:val="00C44702"/>
    <w:rsid w:val="00C45B29"/>
    <w:rsid w:val="00C45C2C"/>
    <w:rsid w:val="00C50661"/>
    <w:rsid w:val="00C519B8"/>
    <w:rsid w:val="00C5400B"/>
    <w:rsid w:val="00C54111"/>
    <w:rsid w:val="00C546AB"/>
    <w:rsid w:val="00C61360"/>
    <w:rsid w:val="00C638AF"/>
    <w:rsid w:val="00C65766"/>
    <w:rsid w:val="00C66BAB"/>
    <w:rsid w:val="00C678CD"/>
    <w:rsid w:val="00C707BF"/>
    <w:rsid w:val="00C748B6"/>
    <w:rsid w:val="00C75BC6"/>
    <w:rsid w:val="00C76282"/>
    <w:rsid w:val="00C80CA0"/>
    <w:rsid w:val="00C85B6D"/>
    <w:rsid w:val="00C86F79"/>
    <w:rsid w:val="00C8757A"/>
    <w:rsid w:val="00C946F1"/>
    <w:rsid w:val="00C95854"/>
    <w:rsid w:val="00C95DE7"/>
    <w:rsid w:val="00C97BFE"/>
    <w:rsid w:val="00C97FC6"/>
    <w:rsid w:val="00CA4A98"/>
    <w:rsid w:val="00CA5265"/>
    <w:rsid w:val="00CA6740"/>
    <w:rsid w:val="00CA74B4"/>
    <w:rsid w:val="00CA7EE4"/>
    <w:rsid w:val="00CB07FD"/>
    <w:rsid w:val="00CB105B"/>
    <w:rsid w:val="00CB35E9"/>
    <w:rsid w:val="00CC2369"/>
    <w:rsid w:val="00CC2B14"/>
    <w:rsid w:val="00CC7096"/>
    <w:rsid w:val="00CD0CEE"/>
    <w:rsid w:val="00CD381F"/>
    <w:rsid w:val="00CE152F"/>
    <w:rsid w:val="00CE1EE9"/>
    <w:rsid w:val="00CF31BC"/>
    <w:rsid w:val="00CF3475"/>
    <w:rsid w:val="00CF3D0E"/>
    <w:rsid w:val="00CF3F2D"/>
    <w:rsid w:val="00CF62B7"/>
    <w:rsid w:val="00D01AFC"/>
    <w:rsid w:val="00D03886"/>
    <w:rsid w:val="00D04015"/>
    <w:rsid w:val="00D06887"/>
    <w:rsid w:val="00D06C9C"/>
    <w:rsid w:val="00D11122"/>
    <w:rsid w:val="00D112B5"/>
    <w:rsid w:val="00D17766"/>
    <w:rsid w:val="00D3009A"/>
    <w:rsid w:val="00D31134"/>
    <w:rsid w:val="00D31E13"/>
    <w:rsid w:val="00D333C2"/>
    <w:rsid w:val="00D33A08"/>
    <w:rsid w:val="00D343A1"/>
    <w:rsid w:val="00D34757"/>
    <w:rsid w:val="00D364EB"/>
    <w:rsid w:val="00D376AA"/>
    <w:rsid w:val="00D409F7"/>
    <w:rsid w:val="00D42401"/>
    <w:rsid w:val="00D43125"/>
    <w:rsid w:val="00D517FF"/>
    <w:rsid w:val="00D53D2C"/>
    <w:rsid w:val="00D6279D"/>
    <w:rsid w:val="00D64937"/>
    <w:rsid w:val="00D6628C"/>
    <w:rsid w:val="00D6653D"/>
    <w:rsid w:val="00D67A84"/>
    <w:rsid w:val="00D67EA6"/>
    <w:rsid w:val="00D72349"/>
    <w:rsid w:val="00D72A60"/>
    <w:rsid w:val="00D74BFB"/>
    <w:rsid w:val="00D74C8B"/>
    <w:rsid w:val="00D82ADA"/>
    <w:rsid w:val="00D85E30"/>
    <w:rsid w:val="00D90334"/>
    <w:rsid w:val="00D92993"/>
    <w:rsid w:val="00D93926"/>
    <w:rsid w:val="00D97E0F"/>
    <w:rsid w:val="00DA2658"/>
    <w:rsid w:val="00DA38E0"/>
    <w:rsid w:val="00DA617B"/>
    <w:rsid w:val="00DB2CD0"/>
    <w:rsid w:val="00DC3CEF"/>
    <w:rsid w:val="00DC3F54"/>
    <w:rsid w:val="00DC4936"/>
    <w:rsid w:val="00DC67FC"/>
    <w:rsid w:val="00DC6FA1"/>
    <w:rsid w:val="00DD0E64"/>
    <w:rsid w:val="00DD253B"/>
    <w:rsid w:val="00DD5D56"/>
    <w:rsid w:val="00DE142B"/>
    <w:rsid w:val="00DE4908"/>
    <w:rsid w:val="00DE5CF1"/>
    <w:rsid w:val="00DF087C"/>
    <w:rsid w:val="00DF231E"/>
    <w:rsid w:val="00DF642E"/>
    <w:rsid w:val="00DF70B3"/>
    <w:rsid w:val="00DF788D"/>
    <w:rsid w:val="00E07C6C"/>
    <w:rsid w:val="00E11753"/>
    <w:rsid w:val="00E1268E"/>
    <w:rsid w:val="00E16B01"/>
    <w:rsid w:val="00E26640"/>
    <w:rsid w:val="00E27E41"/>
    <w:rsid w:val="00E35783"/>
    <w:rsid w:val="00E438CA"/>
    <w:rsid w:val="00E43A80"/>
    <w:rsid w:val="00E4408D"/>
    <w:rsid w:val="00E45ECD"/>
    <w:rsid w:val="00E477EB"/>
    <w:rsid w:val="00E51220"/>
    <w:rsid w:val="00E540C2"/>
    <w:rsid w:val="00E625B2"/>
    <w:rsid w:val="00E665FF"/>
    <w:rsid w:val="00E66778"/>
    <w:rsid w:val="00E66CDB"/>
    <w:rsid w:val="00E706D5"/>
    <w:rsid w:val="00E7087B"/>
    <w:rsid w:val="00E715F6"/>
    <w:rsid w:val="00E84324"/>
    <w:rsid w:val="00E858AB"/>
    <w:rsid w:val="00E85AAA"/>
    <w:rsid w:val="00E86087"/>
    <w:rsid w:val="00E86986"/>
    <w:rsid w:val="00E902FF"/>
    <w:rsid w:val="00E9334E"/>
    <w:rsid w:val="00EA55DA"/>
    <w:rsid w:val="00EA63CB"/>
    <w:rsid w:val="00EB23E8"/>
    <w:rsid w:val="00EB53EB"/>
    <w:rsid w:val="00EB6A06"/>
    <w:rsid w:val="00EC43D0"/>
    <w:rsid w:val="00EC633E"/>
    <w:rsid w:val="00ED47AB"/>
    <w:rsid w:val="00EE1009"/>
    <w:rsid w:val="00EE606A"/>
    <w:rsid w:val="00EE722F"/>
    <w:rsid w:val="00EE76A3"/>
    <w:rsid w:val="00EF08E8"/>
    <w:rsid w:val="00EF237D"/>
    <w:rsid w:val="00EF4DDA"/>
    <w:rsid w:val="00F00844"/>
    <w:rsid w:val="00F00F69"/>
    <w:rsid w:val="00F03F6E"/>
    <w:rsid w:val="00F05CED"/>
    <w:rsid w:val="00F05EC9"/>
    <w:rsid w:val="00F11653"/>
    <w:rsid w:val="00F202A4"/>
    <w:rsid w:val="00F2110B"/>
    <w:rsid w:val="00F23631"/>
    <w:rsid w:val="00F25578"/>
    <w:rsid w:val="00F26AE8"/>
    <w:rsid w:val="00F312E2"/>
    <w:rsid w:val="00F31F6D"/>
    <w:rsid w:val="00F3392C"/>
    <w:rsid w:val="00F353EE"/>
    <w:rsid w:val="00F35F0E"/>
    <w:rsid w:val="00F36455"/>
    <w:rsid w:val="00F37D53"/>
    <w:rsid w:val="00F406E0"/>
    <w:rsid w:val="00F41A97"/>
    <w:rsid w:val="00F41C53"/>
    <w:rsid w:val="00F430CF"/>
    <w:rsid w:val="00F46354"/>
    <w:rsid w:val="00F46C64"/>
    <w:rsid w:val="00F4780E"/>
    <w:rsid w:val="00F542C4"/>
    <w:rsid w:val="00F56EED"/>
    <w:rsid w:val="00F60453"/>
    <w:rsid w:val="00F624FD"/>
    <w:rsid w:val="00F63D31"/>
    <w:rsid w:val="00F677E5"/>
    <w:rsid w:val="00F67C3B"/>
    <w:rsid w:val="00F67CC2"/>
    <w:rsid w:val="00F723FA"/>
    <w:rsid w:val="00F74322"/>
    <w:rsid w:val="00F75C69"/>
    <w:rsid w:val="00F86990"/>
    <w:rsid w:val="00F90230"/>
    <w:rsid w:val="00F90BC2"/>
    <w:rsid w:val="00F942A8"/>
    <w:rsid w:val="00F95701"/>
    <w:rsid w:val="00F965DB"/>
    <w:rsid w:val="00F973DF"/>
    <w:rsid w:val="00FA1A29"/>
    <w:rsid w:val="00FA4970"/>
    <w:rsid w:val="00FB125C"/>
    <w:rsid w:val="00FB37BB"/>
    <w:rsid w:val="00FC2E02"/>
    <w:rsid w:val="00FD17C7"/>
    <w:rsid w:val="00FD3BCC"/>
    <w:rsid w:val="00FD64BD"/>
    <w:rsid w:val="00FD64D3"/>
    <w:rsid w:val="00FE1009"/>
    <w:rsid w:val="00FE2FEB"/>
    <w:rsid w:val="00FE5A5E"/>
    <w:rsid w:val="00FE78EC"/>
    <w:rsid w:val="00FF0FC3"/>
    <w:rsid w:val="012D0A89"/>
    <w:rsid w:val="01B66D5C"/>
    <w:rsid w:val="022B057D"/>
    <w:rsid w:val="029025BA"/>
    <w:rsid w:val="02C632BC"/>
    <w:rsid w:val="02D8757D"/>
    <w:rsid w:val="02DB59D8"/>
    <w:rsid w:val="02E42C1C"/>
    <w:rsid w:val="033E2113"/>
    <w:rsid w:val="03A42ABA"/>
    <w:rsid w:val="03CF6BFA"/>
    <w:rsid w:val="03DD6937"/>
    <w:rsid w:val="03E274D6"/>
    <w:rsid w:val="04027AE3"/>
    <w:rsid w:val="04132E27"/>
    <w:rsid w:val="050C69F2"/>
    <w:rsid w:val="057E0B86"/>
    <w:rsid w:val="05A60153"/>
    <w:rsid w:val="05A752AB"/>
    <w:rsid w:val="05E30B76"/>
    <w:rsid w:val="06124967"/>
    <w:rsid w:val="064443CB"/>
    <w:rsid w:val="064660D0"/>
    <w:rsid w:val="067F6ED0"/>
    <w:rsid w:val="069C2372"/>
    <w:rsid w:val="06E63475"/>
    <w:rsid w:val="071A08C2"/>
    <w:rsid w:val="07242CFE"/>
    <w:rsid w:val="07A04648"/>
    <w:rsid w:val="0846779E"/>
    <w:rsid w:val="08A61165"/>
    <w:rsid w:val="09591C23"/>
    <w:rsid w:val="09976E9E"/>
    <w:rsid w:val="09B5248E"/>
    <w:rsid w:val="09BA7D00"/>
    <w:rsid w:val="09CA6F84"/>
    <w:rsid w:val="09E44551"/>
    <w:rsid w:val="09F00295"/>
    <w:rsid w:val="0A2F607D"/>
    <w:rsid w:val="0B651BB3"/>
    <w:rsid w:val="0B792988"/>
    <w:rsid w:val="0BEE24DC"/>
    <w:rsid w:val="0C1318F1"/>
    <w:rsid w:val="0C427B42"/>
    <w:rsid w:val="0C800CB3"/>
    <w:rsid w:val="0CE6304C"/>
    <w:rsid w:val="0D156569"/>
    <w:rsid w:val="0D3A67FF"/>
    <w:rsid w:val="0D497EB2"/>
    <w:rsid w:val="0E1008EE"/>
    <w:rsid w:val="0E167842"/>
    <w:rsid w:val="0E4370C8"/>
    <w:rsid w:val="0E4411F2"/>
    <w:rsid w:val="0E5A51D4"/>
    <w:rsid w:val="0E6D5867"/>
    <w:rsid w:val="0E917633"/>
    <w:rsid w:val="0FA247C8"/>
    <w:rsid w:val="0FA72DC9"/>
    <w:rsid w:val="0FC42F7B"/>
    <w:rsid w:val="0FF67415"/>
    <w:rsid w:val="0FFA60F7"/>
    <w:rsid w:val="10073C1B"/>
    <w:rsid w:val="100F774A"/>
    <w:rsid w:val="10205F64"/>
    <w:rsid w:val="10BC1A96"/>
    <w:rsid w:val="10E54F30"/>
    <w:rsid w:val="12637B3B"/>
    <w:rsid w:val="12771554"/>
    <w:rsid w:val="129421C1"/>
    <w:rsid w:val="13295217"/>
    <w:rsid w:val="1331204B"/>
    <w:rsid w:val="13563C04"/>
    <w:rsid w:val="13EC6A80"/>
    <w:rsid w:val="141E15C2"/>
    <w:rsid w:val="149E62F2"/>
    <w:rsid w:val="15020DCB"/>
    <w:rsid w:val="150D5183"/>
    <w:rsid w:val="154F79EF"/>
    <w:rsid w:val="15626BFA"/>
    <w:rsid w:val="157B12D4"/>
    <w:rsid w:val="16D47F35"/>
    <w:rsid w:val="170374EC"/>
    <w:rsid w:val="17444330"/>
    <w:rsid w:val="17942BA8"/>
    <w:rsid w:val="17AF7AAF"/>
    <w:rsid w:val="17B61479"/>
    <w:rsid w:val="17C11B7E"/>
    <w:rsid w:val="193277CA"/>
    <w:rsid w:val="1A516B2E"/>
    <w:rsid w:val="1A5601C0"/>
    <w:rsid w:val="1AB0167E"/>
    <w:rsid w:val="1B8A49E6"/>
    <w:rsid w:val="1B8F62EE"/>
    <w:rsid w:val="1BD1777C"/>
    <w:rsid w:val="1BE93ED7"/>
    <w:rsid w:val="1C2A241F"/>
    <w:rsid w:val="1C9422C6"/>
    <w:rsid w:val="1D4B49F6"/>
    <w:rsid w:val="1D813360"/>
    <w:rsid w:val="1D826B36"/>
    <w:rsid w:val="1E664304"/>
    <w:rsid w:val="1F9A7D80"/>
    <w:rsid w:val="1FBE2021"/>
    <w:rsid w:val="201302FC"/>
    <w:rsid w:val="202B3A62"/>
    <w:rsid w:val="20C91526"/>
    <w:rsid w:val="20D959E1"/>
    <w:rsid w:val="21113E03"/>
    <w:rsid w:val="211C03F6"/>
    <w:rsid w:val="21211E17"/>
    <w:rsid w:val="21856903"/>
    <w:rsid w:val="219224F4"/>
    <w:rsid w:val="21A30C67"/>
    <w:rsid w:val="21D31718"/>
    <w:rsid w:val="224E31A3"/>
    <w:rsid w:val="229B692B"/>
    <w:rsid w:val="23763C83"/>
    <w:rsid w:val="23776FB9"/>
    <w:rsid w:val="237F0C83"/>
    <w:rsid w:val="23AE75E2"/>
    <w:rsid w:val="23BB16D2"/>
    <w:rsid w:val="23C37EC8"/>
    <w:rsid w:val="242F288E"/>
    <w:rsid w:val="24455CFE"/>
    <w:rsid w:val="24754F92"/>
    <w:rsid w:val="24B122D5"/>
    <w:rsid w:val="24B961FF"/>
    <w:rsid w:val="26637931"/>
    <w:rsid w:val="267B53F0"/>
    <w:rsid w:val="269868BF"/>
    <w:rsid w:val="269F7BD5"/>
    <w:rsid w:val="27271138"/>
    <w:rsid w:val="282A7BF3"/>
    <w:rsid w:val="28525011"/>
    <w:rsid w:val="28935222"/>
    <w:rsid w:val="28C5164D"/>
    <w:rsid w:val="29574B51"/>
    <w:rsid w:val="295B0154"/>
    <w:rsid w:val="2A8516C1"/>
    <w:rsid w:val="2A9C11C8"/>
    <w:rsid w:val="2BA36640"/>
    <w:rsid w:val="2BBA7313"/>
    <w:rsid w:val="2BD275D4"/>
    <w:rsid w:val="2C7614B0"/>
    <w:rsid w:val="2C8E21BE"/>
    <w:rsid w:val="2CB773E6"/>
    <w:rsid w:val="2D4C2901"/>
    <w:rsid w:val="2D517568"/>
    <w:rsid w:val="2DE310E3"/>
    <w:rsid w:val="2E106B8C"/>
    <w:rsid w:val="2E112994"/>
    <w:rsid w:val="2E1F77D1"/>
    <w:rsid w:val="2E572AB4"/>
    <w:rsid w:val="2E6867DF"/>
    <w:rsid w:val="2F013257"/>
    <w:rsid w:val="2F576575"/>
    <w:rsid w:val="2F654A4F"/>
    <w:rsid w:val="2FC95782"/>
    <w:rsid w:val="300F13A8"/>
    <w:rsid w:val="301529F8"/>
    <w:rsid w:val="30394E57"/>
    <w:rsid w:val="306C5828"/>
    <w:rsid w:val="30DE583A"/>
    <w:rsid w:val="31236FB1"/>
    <w:rsid w:val="319D6E1B"/>
    <w:rsid w:val="31A8352B"/>
    <w:rsid w:val="31EF56BC"/>
    <w:rsid w:val="32A62BDF"/>
    <w:rsid w:val="32A77954"/>
    <w:rsid w:val="335F6D80"/>
    <w:rsid w:val="336A0A78"/>
    <w:rsid w:val="344A4EC6"/>
    <w:rsid w:val="34AD4CC0"/>
    <w:rsid w:val="34DB5CA5"/>
    <w:rsid w:val="35C15DDD"/>
    <w:rsid w:val="36163FB4"/>
    <w:rsid w:val="36405748"/>
    <w:rsid w:val="36882A94"/>
    <w:rsid w:val="37B4404D"/>
    <w:rsid w:val="38387AEB"/>
    <w:rsid w:val="389F69B8"/>
    <w:rsid w:val="38F932F6"/>
    <w:rsid w:val="39780370"/>
    <w:rsid w:val="3A387687"/>
    <w:rsid w:val="3ACA6435"/>
    <w:rsid w:val="3B1632CC"/>
    <w:rsid w:val="3B202B47"/>
    <w:rsid w:val="3B740553"/>
    <w:rsid w:val="3B9C57F9"/>
    <w:rsid w:val="3BB57CF6"/>
    <w:rsid w:val="3BE07902"/>
    <w:rsid w:val="3DA10C18"/>
    <w:rsid w:val="3EA1648E"/>
    <w:rsid w:val="3F79605C"/>
    <w:rsid w:val="3F7B7FCA"/>
    <w:rsid w:val="3FA72B53"/>
    <w:rsid w:val="401407EC"/>
    <w:rsid w:val="406A4B47"/>
    <w:rsid w:val="409445B2"/>
    <w:rsid w:val="40D06268"/>
    <w:rsid w:val="40DC18E5"/>
    <w:rsid w:val="412F3314"/>
    <w:rsid w:val="418545EE"/>
    <w:rsid w:val="41901872"/>
    <w:rsid w:val="41CC1A3A"/>
    <w:rsid w:val="41FC139B"/>
    <w:rsid w:val="42E868FA"/>
    <w:rsid w:val="43063D47"/>
    <w:rsid w:val="4315106D"/>
    <w:rsid w:val="4353242B"/>
    <w:rsid w:val="43A765FC"/>
    <w:rsid w:val="441E2F4D"/>
    <w:rsid w:val="447339C1"/>
    <w:rsid w:val="44A95DE1"/>
    <w:rsid w:val="450713C3"/>
    <w:rsid w:val="453A408A"/>
    <w:rsid w:val="45881F5D"/>
    <w:rsid w:val="46286F3B"/>
    <w:rsid w:val="4665661F"/>
    <w:rsid w:val="469756D2"/>
    <w:rsid w:val="46CE4EDF"/>
    <w:rsid w:val="47164C62"/>
    <w:rsid w:val="473C19E3"/>
    <w:rsid w:val="47561FEF"/>
    <w:rsid w:val="48542730"/>
    <w:rsid w:val="4899437B"/>
    <w:rsid w:val="48C2050C"/>
    <w:rsid w:val="490E1F0B"/>
    <w:rsid w:val="492223DF"/>
    <w:rsid w:val="498D41A1"/>
    <w:rsid w:val="4A132418"/>
    <w:rsid w:val="4A3F2CD5"/>
    <w:rsid w:val="4A59481F"/>
    <w:rsid w:val="4B4621FD"/>
    <w:rsid w:val="4C0A75F5"/>
    <w:rsid w:val="4C5A2494"/>
    <w:rsid w:val="4D4D7707"/>
    <w:rsid w:val="4D5638D5"/>
    <w:rsid w:val="4D5C24E4"/>
    <w:rsid w:val="4D6F109C"/>
    <w:rsid w:val="4DCC1B7B"/>
    <w:rsid w:val="4E6A06D8"/>
    <w:rsid w:val="4F7338AB"/>
    <w:rsid w:val="4F765CFC"/>
    <w:rsid w:val="4FAB6416"/>
    <w:rsid w:val="4FB07E22"/>
    <w:rsid w:val="4FBF7ABB"/>
    <w:rsid w:val="4FC43721"/>
    <w:rsid w:val="4FC86978"/>
    <w:rsid w:val="4FFE587A"/>
    <w:rsid w:val="50DB270C"/>
    <w:rsid w:val="50E2435A"/>
    <w:rsid w:val="51884C99"/>
    <w:rsid w:val="51FE349A"/>
    <w:rsid w:val="52145948"/>
    <w:rsid w:val="529C1EFA"/>
    <w:rsid w:val="5341297B"/>
    <w:rsid w:val="53A30BED"/>
    <w:rsid w:val="53EF1803"/>
    <w:rsid w:val="54003B9F"/>
    <w:rsid w:val="54683FF0"/>
    <w:rsid w:val="54936D22"/>
    <w:rsid w:val="54F231D8"/>
    <w:rsid w:val="550A2A70"/>
    <w:rsid w:val="55D72935"/>
    <w:rsid w:val="55D749E9"/>
    <w:rsid w:val="55F208E7"/>
    <w:rsid w:val="564E04DC"/>
    <w:rsid w:val="56A135FF"/>
    <w:rsid w:val="56B467E7"/>
    <w:rsid w:val="56D44823"/>
    <w:rsid w:val="56E763E1"/>
    <w:rsid w:val="56F4562C"/>
    <w:rsid w:val="571A17E5"/>
    <w:rsid w:val="57272F23"/>
    <w:rsid w:val="573722C7"/>
    <w:rsid w:val="57531051"/>
    <w:rsid w:val="579B1199"/>
    <w:rsid w:val="57A84B9E"/>
    <w:rsid w:val="57C17820"/>
    <w:rsid w:val="57D60097"/>
    <w:rsid w:val="58403956"/>
    <w:rsid w:val="586276C2"/>
    <w:rsid w:val="58DD3C9A"/>
    <w:rsid w:val="58E6505A"/>
    <w:rsid w:val="59031DD5"/>
    <w:rsid w:val="592A34B1"/>
    <w:rsid w:val="5973391C"/>
    <w:rsid w:val="59EA4889"/>
    <w:rsid w:val="59FF5FC8"/>
    <w:rsid w:val="5A0E17D7"/>
    <w:rsid w:val="5A35122F"/>
    <w:rsid w:val="5AC8053E"/>
    <w:rsid w:val="5BC26739"/>
    <w:rsid w:val="5BC513C0"/>
    <w:rsid w:val="5C072C20"/>
    <w:rsid w:val="5C2904A5"/>
    <w:rsid w:val="5C8125CF"/>
    <w:rsid w:val="5CCD57B0"/>
    <w:rsid w:val="5D4706E1"/>
    <w:rsid w:val="5D4C30B7"/>
    <w:rsid w:val="5D7070E7"/>
    <w:rsid w:val="5D9A626F"/>
    <w:rsid w:val="5EAD150B"/>
    <w:rsid w:val="5EF71C71"/>
    <w:rsid w:val="5F29419C"/>
    <w:rsid w:val="5F563B2C"/>
    <w:rsid w:val="5FE40F21"/>
    <w:rsid w:val="6036387E"/>
    <w:rsid w:val="605E713B"/>
    <w:rsid w:val="60D365B7"/>
    <w:rsid w:val="60D62872"/>
    <w:rsid w:val="60FB25BC"/>
    <w:rsid w:val="61033102"/>
    <w:rsid w:val="612E2C36"/>
    <w:rsid w:val="616758B8"/>
    <w:rsid w:val="61D76773"/>
    <w:rsid w:val="6222168A"/>
    <w:rsid w:val="622F727E"/>
    <w:rsid w:val="62C15213"/>
    <w:rsid w:val="63214471"/>
    <w:rsid w:val="63E12DF4"/>
    <w:rsid w:val="647C6724"/>
    <w:rsid w:val="64CF740A"/>
    <w:rsid w:val="64F1018E"/>
    <w:rsid w:val="65065884"/>
    <w:rsid w:val="654429CF"/>
    <w:rsid w:val="657755D3"/>
    <w:rsid w:val="658968A0"/>
    <w:rsid w:val="65912E12"/>
    <w:rsid w:val="65BE2BC3"/>
    <w:rsid w:val="660A0DF2"/>
    <w:rsid w:val="661815AE"/>
    <w:rsid w:val="66255162"/>
    <w:rsid w:val="667B161A"/>
    <w:rsid w:val="66C81874"/>
    <w:rsid w:val="6707590E"/>
    <w:rsid w:val="6707635C"/>
    <w:rsid w:val="68633353"/>
    <w:rsid w:val="68654544"/>
    <w:rsid w:val="68994715"/>
    <w:rsid w:val="68FA37CF"/>
    <w:rsid w:val="69626E31"/>
    <w:rsid w:val="699414FD"/>
    <w:rsid w:val="6994740F"/>
    <w:rsid w:val="69F83E64"/>
    <w:rsid w:val="6A6C6AD8"/>
    <w:rsid w:val="6B005A9C"/>
    <w:rsid w:val="6B1E4C9B"/>
    <w:rsid w:val="6B670900"/>
    <w:rsid w:val="6B697291"/>
    <w:rsid w:val="6B80576C"/>
    <w:rsid w:val="6B8C4C96"/>
    <w:rsid w:val="6B9C1079"/>
    <w:rsid w:val="6C694398"/>
    <w:rsid w:val="6C7A61DB"/>
    <w:rsid w:val="6CAC1F27"/>
    <w:rsid w:val="6CE728B9"/>
    <w:rsid w:val="6D407C06"/>
    <w:rsid w:val="6D501AB9"/>
    <w:rsid w:val="6D706886"/>
    <w:rsid w:val="6DB629AD"/>
    <w:rsid w:val="6E1E60A6"/>
    <w:rsid w:val="6E576D7E"/>
    <w:rsid w:val="6E943D4E"/>
    <w:rsid w:val="6EDD791D"/>
    <w:rsid w:val="6EE20C07"/>
    <w:rsid w:val="6F8317D9"/>
    <w:rsid w:val="701B23B4"/>
    <w:rsid w:val="708356AD"/>
    <w:rsid w:val="70DE3D20"/>
    <w:rsid w:val="714B2FAC"/>
    <w:rsid w:val="714E0E1C"/>
    <w:rsid w:val="71A67607"/>
    <w:rsid w:val="72024B75"/>
    <w:rsid w:val="725346A4"/>
    <w:rsid w:val="725C76DD"/>
    <w:rsid w:val="72D95B34"/>
    <w:rsid w:val="732A2313"/>
    <w:rsid w:val="73AA70D6"/>
    <w:rsid w:val="73E946AE"/>
    <w:rsid w:val="74001350"/>
    <w:rsid w:val="743E2195"/>
    <w:rsid w:val="748F3B62"/>
    <w:rsid w:val="752E50EE"/>
    <w:rsid w:val="75661707"/>
    <w:rsid w:val="763D0641"/>
    <w:rsid w:val="76705453"/>
    <w:rsid w:val="76937513"/>
    <w:rsid w:val="774A08FF"/>
    <w:rsid w:val="77846D70"/>
    <w:rsid w:val="77B07959"/>
    <w:rsid w:val="78172C7B"/>
    <w:rsid w:val="784A620C"/>
    <w:rsid w:val="78B91BFB"/>
    <w:rsid w:val="78CC6E1C"/>
    <w:rsid w:val="78D54CCE"/>
    <w:rsid w:val="78F06E5A"/>
    <w:rsid w:val="78F41341"/>
    <w:rsid w:val="790B1069"/>
    <w:rsid w:val="79473D17"/>
    <w:rsid w:val="7986407E"/>
    <w:rsid w:val="79E66657"/>
    <w:rsid w:val="7A480D9C"/>
    <w:rsid w:val="7A6A196A"/>
    <w:rsid w:val="7B8B5EE3"/>
    <w:rsid w:val="7BAD24EA"/>
    <w:rsid w:val="7BF15674"/>
    <w:rsid w:val="7C56314A"/>
    <w:rsid w:val="7CA81C7C"/>
    <w:rsid w:val="7D403539"/>
    <w:rsid w:val="7D524443"/>
    <w:rsid w:val="7DD73A21"/>
    <w:rsid w:val="7DE21ABF"/>
    <w:rsid w:val="7DE6418D"/>
    <w:rsid w:val="7E692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outlineLvl w:val="0"/>
    </w:pPr>
    <w:rPr>
      <w:rFonts w:ascii="Times New Roman" w:hAnsi="Times New Roman"/>
      <w:b/>
      <w:bCs/>
      <w:kern w:val="44"/>
      <w:sz w:val="44"/>
      <w:szCs w:val="44"/>
    </w:rPr>
  </w:style>
  <w:style w:type="paragraph" w:styleId="4">
    <w:name w:val="heading 2"/>
    <w:basedOn w:val="1"/>
    <w:next w:val="5"/>
    <w:link w:val="75"/>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86"/>
    <w:qFormat/>
    <w:uiPriority w:val="0"/>
    <w:pPr>
      <w:keepNext/>
      <w:keepLines/>
      <w:spacing w:before="120" w:after="120"/>
      <w:outlineLvl w:val="2"/>
    </w:pPr>
    <w:rPr>
      <w:b/>
      <w:bCs/>
      <w:kern w:val="0"/>
      <w:sz w:val="20"/>
      <w:szCs w:val="32"/>
    </w:rPr>
  </w:style>
  <w:style w:type="paragraph" w:styleId="7">
    <w:name w:val="heading 9"/>
    <w:basedOn w:val="1"/>
    <w:next w:val="1"/>
    <w:unhideWhenUsed/>
    <w:qFormat/>
    <w:uiPriority w:val="0"/>
    <w:pPr>
      <w:keepNext/>
      <w:keepLines/>
      <w:spacing w:before="240" w:after="64" w:line="317" w:lineRule="auto"/>
      <w:outlineLvl w:val="8"/>
    </w:pPr>
    <w:rPr>
      <w:rFonts w:ascii="Arial" w:hAnsi="Arial" w:eastAsia="黑体"/>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5">
    <w:name w:val="Normal Indent"/>
    <w:basedOn w:val="1"/>
    <w:qFormat/>
    <w:uiPriority w:val="0"/>
    <w:pPr>
      <w:ind w:firstLine="420"/>
    </w:pPr>
    <w:rPr>
      <w:szCs w:val="20"/>
    </w:rPr>
  </w:style>
  <w:style w:type="paragraph" w:styleId="8">
    <w:name w:val="caption"/>
    <w:basedOn w:val="1"/>
    <w:next w:val="1"/>
    <w:qFormat/>
    <w:uiPriority w:val="0"/>
    <w:pPr>
      <w:spacing w:line="480" w:lineRule="auto"/>
    </w:pPr>
    <w:rPr>
      <w:rFonts w:ascii="华文中宋" w:hAnsi="华文中宋" w:eastAsia="华文中宋"/>
      <w:sz w:val="36"/>
      <w:szCs w:val="20"/>
    </w:rPr>
  </w:style>
  <w:style w:type="paragraph" w:styleId="9">
    <w:name w:val="Document Map"/>
    <w:basedOn w:val="1"/>
    <w:qFormat/>
    <w:uiPriority w:val="0"/>
    <w:pPr>
      <w:shd w:val="clear" w:color="auto" w:fill="000080"/>
    </w:pPr>
  </w:style>
  <w:style w:type="paragraph" w:styleId="10">
    <w:name w:val="annotation text"/>
    <w:basedOn w:val="1"/>
    <w:link w:val="89"/>
    <w:qFormat/>
    <w:uiPriority w:val="0"/>
    <w:pPr>
      <w:jc w:val="left"/>
    </w:pPr>
  </w:style>
  <w:style w:type="paragraph" w:styleId="11">
    <w:name w:val="Salutation"/>
    <w:basedOn w:val="1"/>
    <w:next w:val="1"/>
    <w:qFormat/>
    <w:uiPriority w:val="0"/>
  </w:style>
  <w:style w:type="paragraph" w:styleId="12">
    <w:name w:val="Body Text 3"/>
    <w:basedOn w:val="1"/>
    <w:qFormat/>
    <w:uiPriority w:val="0"/>
    <w:pPr>
      <w:spacing w:line="440" w:lineRule="exact"/>
    </w:pPr>
    <w:rPr>
      <w:rFonts w:ascii="宋体" w:hAnsi="宋体"/>
      <w:sz w:val="22"/>
    </w:rPr>
  </w:style>
  <w:style w:type="paragraph" w:styleId="13">
    <w:name w:val="Body Text"/>
    <w:basedOn w:val="1"/>
    <w:qFormat/>
    <w:uiPriority w:val="0"/>
    <w:pPr>
      <w:spacing w:line="360" w:lineRule="auto"/>
    </w:pPr>
    <w:rPr>
      <w:sz w:val="24"/>
      <w:szCs w:val="20"/>
    </w:rPr>
  </w:style>
  <w:style w:type="paragraph" w:styleId="14">
    <w:name w:val="Body Text Indent"/>
    <w:basedOn w:val="1"/>
    <w:link w:val="80"/>
    <w:qFormat/>
    <w:uiPriority w:val="0"/>
    <w:pPr>
      <w:spacing w:after="120"/>
      <w:ind w:left="420" w:leftChars="200"/>
    </w:pPr>
  </w:style>
  <w:style w:type="paragraph" w:styleId="15">
    <w:name w:val="toc 3"/>
    <w:basedOn w:val="1"/>
    <w:next w:val="1"/>
    <w:qFormat/>
    <w:uiPriority w:val="39"/>
    <w:pPr>
      <w:tabs>
        <w:tab w:val="right" w:leader="dot" w:pos="9231"/>
      </w:tabs>
      <w:spacing w:line="360" w:lineRule="exact"/>
      <w:ind w:left="418" w:hanging="418" w:hangingChars="190"/>
    </w:pPr>
    <w:rPr>
      <w:rFonts w:ascii="黑体" w:eastAsia="黑体"/>
      <w:sz w:val="22"/>
      <w:szCs w:val="21"/>
    </w:rPr>
  </w:style>
  <w:style w:type="paragraph" w:styleId="16">
    <w:name w:val="Plain Text"/>
    <w:basedOn w:val="1"/>
    <w:link w:val="91"/>
    <w:qFormat/>
    <w:uiPriority w:val="0"/>
    <w:rPr>
      <w:rFonts w:ascii="宋体" w:hAnsi="Courier New"/>
      <w:szCs w:val="20"/>
    </w:rPr>
  </w:style>
  <w:style w:type="paragraph" w:styleId="17">
    <w:name w:val="Date"/>
    <w:basedOn w:val="1"/>
    <w:next w:val="1"/>
    <w:qFormat/>
    <w:uiPriority w:val="0"/>
    <w:rPr>
      <w:szCs w:val="20"/>
    </w:rPr>
  </w:style>
  <w:style w:type="paragraph" w:styleId="18">
    <w:name w:val="Body Text Indent 2"/>
    <w:basedOn w:val="1"/>
    <w:unhideWhenUsed/>
    <w:qFormat/>
    <w:uiPriority w:val="0"/>
    <w:pPr>
      <w:snapToGrid w:val="0"/>
      <w:spacing w:line="312" w:lineRule="auto"/>
      <w:ind w:left="588" w:leftChars="280"/>
    </w:pPr>
    <w:rPr>
      <w:lang w:val="zh-CN"/>
    </w:rPr>
  </w:style>
  <w:style w:type="paragraph" w:styleId="19">
    <w:name w:val="endnote text"/>
    <w:basedOn w:val="1"/>
    <w:qFormat/>
    <w:uiPriority w:val="0"/>
    <w:pPr>
      <w:snapToGrid w:val="0"/>
      <w:jc w:val="left"/>
    </w:pPr>
    <w:rPr>
      <w:rFonts w:ascii="Times New Roman" w:hAnsi="Times New Roman"/>
      <w:sz w:val="20"/>
      <w:szCs w:val="20"/>
    </w:rPr>
  </w:style>
  <w:style w:type="paragraph" w:styleId="20">
    <w:name w:val="Balloon Text"/>
    <w:basedOn w:val="1"/>
    <w:qFormat/>
    <w:uiPriority w:val="0"/>
    <w:rPr>
      <w:sz w:val="18"/>
      <w:szCs w:val="18"/>
    </w:rPr>
  </w:style>
  <w:style w:type="paragraph" w:styleId="21">
    <w:name w:val="footer"/>
    <w:basedOn w:val="1"/>
    <w:link w:val="69"/>
    <w:qFormat/>
    <w:uiPriority w:val="99"/>
    <w:pPr>
      <w:tabs>
        <w:tab w:val="center" w:pos="4153"/>
        <w:tab w:val="right" w:pos="8306"/>
      </w:tabs>
      <w:snapToGrid w:val="0"/>
      <w:jc w:val="left"/>
    </w:pPr>
    <w:rPr>
      <w:sz w:val="18"/>
      <w:szCs w:val="20"/>
    </w:rPr>
  </w:style>
  <w:style w:type="paragraph" w:styleId="22">
    <w:name w:val="header"/>
    <w:basedOn w:val="1"/>
    <w:link w:val="143"/>
    <w:qFormat/>
    <w:uiPriority w:val="99"/>
    <w:pPr>
      <w:pBdr>
        <w:bottom w:val="single" w:color="auto" w:sz="6" w:space="1"/>
      </w:pBdr>
      <w:tabs>
        <w:tab w:val="center" w:pos="4153"/>
        <w:tab w:val="right" w:pos="8306"/>
      </w:tabs>
      <w:snapToGrid w:val="0"/>
      <w:jc w:val="center"/>
    </w:pPr>
    <w:rPr>
      <w:sz w:val="18"/>
      <w:szCs w:val="20"/>
    </w:rPr>
  </w:style>
  <w:style w:type="paragraph" w:styleId="23">
    <w:name w:val="toc 1"/>
    <w:basedOn w:val="1"/>
    <w:next w:val="1"/>
    <w:qFormat/>
    <w:uiPriority w:val="39"/>
    <w:pPr>
      <w:tabs>
        <w:tab w:val="right" w:leader="dot" w:pos="9231"/>
      </w:tabs>
      <w:spacing w:line="360" w:lineRule="exact"/>
    </w:pPr>
    <w:rPr>
      <w:rFonts w:ascii="黑体" w:eastAsia="黑体"/>
      <w:w w:val="90"/>
      <w:sz w:val="22"/>
      <w:szCs w:val="20"/>
    </w:rPr>
  </w:style>
  <w:style w:type="paragraph" w:styleId="24">
    <w:name w:val="Body Text Indent 3"/>
    <w:basedOn w:val="1"/>
    <w:unhideWhenUsed/>
    <w:qFormat/>
    <w:uiPriority w:val="0"/>
    <w:pPr>
      <w:snapToGrid w:val="0"/>
      <w:spacing w:line="312" w:lineRule="auto"/>
      <w:ind w:left="525" w:leftChars="250" w:firstLine="43"/>
    </w:pPr>
    <w:rPr>
      <w:lang w:val="zh-CN"/>
    </w:rPr>
  </w:style>
  <w:style w:type="paragraph" w:styleId="25">
    <w:name w:val="toc 2"/>
    <w:basedOn w:val="1"/>
    <w:next w:val="1"/>
    <w:qFormat/>
    <w:uiPriority w:val="39"/>
    <w:pPr>
      <w:ind w:left="420" w:leftChars="200"/>
    </w:pPr>
  </w:style>
  <w:style w:type="paragraph" w:styleId="26">
    <w:name w:val="Body Text 2"/>
    <w:basedOn w:val="1"/>
    <w:qFormat/>
    <w:uiPriority w:val="0"/>
    <w:pPr>
      <w:spacing w:line="360" w:lineRule="auto"/>
      <w:ind w:right="-126"/>
    </w:pPr>
    <w:rPr>
      <w:rFonts w:ascii="黑体"/>
      <w:sz w:val="36"/>
      <w:szCs w:val="21"/>
    </w:rPr>
  </w:style>
  <w:style w:type="paragraph" w:styleId="27">
    <w:name w:val="Normal (Web)"/>
    <w:basedOn w:val="1"/>
    <w:unhideWhenUsed/>
    <w:qFormat/>
    <w:uiPriority w:val="99"/>
    <w:pPr>
      <w:spacing w:before="100" w:beforeAutospacing="1" w:after="100" w:afterAutospacing="1"/>
      <w:jc w:val="left"/>
    </w:pPr>
    <w:rPr>
      <w:rFonts w:cs="Arial Unicode MS"/>
      <w:kern w:val="0"/>
      <w:sz w:val="24"/>
      <w:lang w:bidi="bo-CN"/>
    </w:rPr>
  </w:style>
  <w:style w:type="paragraph" w:styleId="28">
    <w:name w:val="Title"/>
    <w:basedOn w:val="1"/>
    <w:next w:val="1"/>
    <w:qFormat/>
    <w:uiPriority w:val="0"/>
    <w:pPr>
      <w:spacing w:before="240" w:after="60"/>
      <w:jc w:val="left"/>
      <w:outlineLvl w:val="0"/>
    </w:pPr>
    <w:rPr>
      <w:rFonts w:ascii="Cambria" w:hAnsi="Cambria"/>
      <w:b/>
      <w:bCs/>
      <w:kern w:val="0"/>
      <w:sz w:val="32"/>
      <w:szCs w:val="32"/>
    </w:rPr>
  </w:style>
  <w:style w:type="paragraph" w:styleId="29">
    <w:name w:val="annotation subject"/>
    <w:basedOn w:val="10"/>
    <w:next w:val="10"/>
    <w:link w:val="90"/>
    <w:qFormat/>
    <w:uiPriority w:val="0"/>
    <w:rPr>
      <w:b/>
      <w:bCs/>
    </w:rPr>
  </w:style>
  <w:style w:type="table" w:styleId="31">
    <w:name w:val="Table Grid"/>
    <w:basedOn w:val="3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basedOn w:val="32"/>
    <w:qFormat/>
    <w:uiPriority w:val="22"/>
    <w:rPr>
      <w:b/>
      <w:bCs/>
      <w:kern w:val="0"/>
      <w:sz w:val="24"/>
      <w:szCs w:val="20"/>
    </w:rPr>
  </w:style>
  <w:style w:type="character" w:styleId="34">
    <w:name w:val="page number"/>
    <w:basedOn w:val="32"/>
    <w:qFormat/>
    <w:uiPriority w:val="0"/>
  </w:style>
  <w:style w:type="character" w:styleId="35">
    <w:name w:val="FollowedHyperlink"/>
    <w:qFormat/>
    <w:uiPriority w:val="99"/>
    <w:rPr>
      <w:color w:val="333333"/>
      <w:kern w:val="0"/>
      <w:sz w:val="24"/>
      <w:szCs w:val="20"/>
      <w:u w:val="none"/>
    </w:rPr>
  </w:style>
  <w:style w:type="character" w:styleId="36">
    <w:name w:val="Hyperlink"/>
    <w:qFormat/>
    <w:uiPriority w:val="99"/>
    <w:rPr>
      <w:color w:val="333333"/>
      <w:kern w:val="0"/>
      <w:sz w:val="24"/>
      <w:szCs w:val="20"/>
      <w:u w:val="none"/>
    </w:rPr>
  </w:style>
  <w:style w:type="character" w:styleId="37">
    <w:name w:val="annotation reference"/>
    <w:basedOn w:val="32"/>
    <w:qFormat/>
    <w:uiPriority w:val="0"/>
    <w:rPr>
      <w:sz w:val="21"/>
      <w:szCs w:val="21"/>
    </w:rPr>
  </w:style>
  <w:style w:type="paragraph" w:customStyle="1" w:styleId="38">
    <w:name w:val="_Style 15"/>
    <w:basedOn w:val="1"/>
    <w:next w:val="39"/>
    <w:qFormat/>
    <w:uiPriority w:val="34"/>
    <w:pPr>
      <w:ind w:firstLine="420" w:firstLineChars="200"/>
    </w:pPr>
    <w:rPr>
      <w:szCs w:val="22"/>
    </w:rPr>
  </w:style>
  <w:style w:type="paragraph" w:styleId="39">
    <w:name w:val="List Paragraph"/>
    <w:basedOn w:val="1"/>
    <w:qFormat/>
    <w:uiPriority w:val="34"/>
    <w:pPr>
      <w:ind w:firstLine="420" w:firstLineChars="200"/>
    </w:pPr>
  </w:style>
  <w:style w:type="paragraph" w:customStyle="1" w:styleId="40">
    <w:name w:val="正文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4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2">
    <w:name w:val="列出段落1"/>
    <w:basedOn w:val="1"/>
    <w:qFormat/>
    <w:uiPriority w:val="34"/>
    <w:pPr>
      <w:ind w:firstLine="420" w:firstLineChars="200"/>
    </w:pPr>
  </w:style>
  <w:style w:type="paragraph" w:customStyle="1" w:styleId="43">
    <w:name w:val="*正文"/>
    <w:basedOn w:val="1"/>
    <w:qFormat/>
    <w:uiPriority w:val="0"/>
    <w:pPr>
      <w:widowControl/>
      <w:spacing w:line="360" w:lineRule="auto"/>
      <w:ind w:firstLine="200" w:firstLineChars="200"/>
      <w:jc w:val="left"/>
    </w:pPr>
    <w:rPr>
      <w:rFonts w:ascii="仿宋_GB2312" w:hAnsi="Times New Roman" w:eastAsia="仿宋_GB2312"/>
      <w:sz w:val="24"/>
      <w:szCs w:val="28"/>
    </w:rPr>
  </w:style>
  <w:style w:type="paragraph" w:customStyle="1" w:styleId="44">
    <w:name w:val="Table Paragraph"/>
    <w:basedOn w:val="1"/>
    <w:qFormat/>
    <w:uiPriority w:val="1"/>
    <w:rPr>
      <w:rFonts w:ascii="宋体" w:hAnsi="宋体" w:cs="宋体"/>
      <w:lang w:val="zh-CN" w:bidi="zh-CN"/>
    </w:rPr>
  </w:style>
  <w:style w:type="paragraph" w:customStyle="1" w:styleId="45">
    <w:name w:val="无间隔1"/>
    <w:qFormat/>
    <w:uiPriority w:val="0"/>
    <w:rPr>
      <w:rFonts w:ascii="Calibri" w:hAnsi="Calibri" w:eastAsia="宋体" w:cs="Times New Roman"/>
      <w:sz w:val="22"/>
      <w:szCs w:val="22"/>
      <w:lang w:val="en-US" w:eastAsia="zh-CN" w:bidi="ar-SA"/>
    </w:rPr>
  </w:style>
  <w:style w:type="paragraph" w:customStyle="1" w:styleId="46">
    <w:name w:val="p0"/>
    <w:basedOn w:val="1"/>
    <w:qFormat/>
    <w:uiPriority w:val="0"/>
    <w:pPr>
      <w:widowControl/>
    </w:pPr>
    <w:rPr>
      <w:kern w:val="0"/>
      <w:szCs w:val="21"/>
    </w:rPr>
  </w:style>
  <w:style w:type="paragraph" w:customStyle="1" w:styleId="47">
    <w:name w:val="1"/>
    <w:basedOn w:val="1"/>
    <w:qFormat/>
    <w:uiPriority w:val="0"/>
    <w:pPr>
      <w:spacing w:afterLines="50" w:line="360" w:lineRule="auto"/>
      <w:ind w:firstLine="3243" w:firstLineChars="1080"/>
    </w:pPr>
    <w:rPr>
      <w:rFonts w:ascii="宋体" w:hAnsi="宋体"/>
      <w:b/>
      <w:sz w:val="30"/>
      <w:szCs w:val="21"/>
    </w:rPr>
  </w:style>
  <w:style w:type="paragraph" w:customStyle="1" w:styleId="48">
    <w:name w:val="招标文件"/>
    <w:basedOn w:val="49"/>
    <w:qFormat/>
    <w:uiPriority w:val="0"/>
    <w:pPr>
      <w:tabs>
        <w:tab w:val="left" w:pos="576"/>
        <w:tab w:val="left" w:pos="709"/>
        <w:tab w:val="left" w:pos="4832"/>
      </w:tabs>
    </w:pPr>
  </w:style>
  <w:style w:type="paragraph" w:customStyle="1" w:styleId="49">
    <w:name w:val="招标文件目录"/>
    <w:basedOn w:val="4"/>
    <w:qFormat/>
    <w:uiPriority w:val="0"/>
    <w:pPr>
      <w:tabs>
        <w:tab w:val="left" w:pos="709"/>
        <w:tab w:val="left" w:pos="4832"/>
      </w:tabs>
      <w:ind w:left="709" w:hanging="720"/>
      <w:jc w:val="center"/>
    </w:pPr>
    <w:rPr>
      <w:rFonts w:ascii="宋体" w:hAnsi="宋体" w:eastAsia="宋体"/>
    </w:rPr>
  </w:style>
  <w:style w:type="paragraph" w:customStyle="1" w:styleId="50">
    <w:name w:val="项目-正文"/>
    <w:basedOn w:val="1"/>
    <w:qFormat/>
    <w:uiPriority w:val="0"/>
    <w:pPr>
      <w:widowControl/>
      <w:spacing w:line="360" w:lineRule="auto"/>
      <w:ind w:firstLine="560" w:firstLineChars="200"/>
      <w:textAlignment w:val="baseline"/>
    </w:pPr>
    <w:rPr>
      <w:color w:val="000000"/>
      <w:kern w:val="0"/>
      <w:sz w:val="28"/>
      <w:szCs w:val="20"/>
      <w:u w:color="000000"/>
    </w:rPr>
  </w:style>
  <w:style w:type="paragraph" w:customStyle="1" w:styleId="51">
    <w:name w:val="TOC 标题1"/>
    <w:basedOn w:val="3"/>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2">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53">
    <w:name w:val="标准正文"/>
    <w:basedOn w:val="1"/>
    <w:qFormat/>
    <w:uiPriority w:val="0"/>
    <w:pPr>
      <w:spacing w:line="400" w:lineRule="exact"/>
      <w:ind w:firstLine="420" w:firstLineChars="200"/>
    </w:pPr>
    <w:rPr>
      <w:rFonts w:ascii="宋体" w:hAnsi="宋体" w:eastAsia="仿宋_GB2312"/>
      <w:kern w:val="0"/>
      <w:sz w:val="24"/>
    </w:rPr>
  </w:style>
  <w:style w:type="paragraph" w:customStyle="1" w:styleId="54">
    <w:name w:val="Char Char Char2 Char Char Char Char Char Char Char"/>
    <w:basedOn w:val="1"/>
    <w:qFormat/>
    <w:uiPriority w:val="0"/>
    <w:pPr>
      <w:adjustRightInd w:val="0"/>
      <w:spacing w:line="360" w:lineRule="auto"/>
    </w:pPr>
    <w:rPr>
      <w:kern w:val="0"/>
      <w:sz w:val="24"/>
      <w:szCs w:val="20"/>
    </w:rPr>
  </w:style>
  <w:style w:type="paragraph" w:customStyle="1" w:styleId="55">
    <w:name w:val="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56">
    <w:name w:val="！正文"/>
    <w:basedOn w:val="1"/>
    <w:qFormat/>
    <w:uiPriority w:val="0"/>
    <w:pPr>
      <w:spacing w:afterLines="50" w:line="400" w:lineRule="exact"/>
      <w:ind w:right="210" w:firstLine="420" w:firstLineChars="200"/>
    </w:pPr>
    <w:rPr>
      <w:rFonts w:ascii="宋体" w:hAnsi="宋体" w:eastAsia="仿宋_GB2312"/>
      <w:kern w:val="0"/>
      <w:sz w:val="24"/>
    </w:rPr>
  </w:style>
  <w:style w:type="paragraph" w:customStyle="1" w:styleId="57">
    <w:name w:val="首行缩进"/>
    <w:basedOn w:val="1"/>
    <w:qFormat/>
    <w:uiPriority w:val="0"/>
    <w:pPr>
      <w:ind w:firstLine="480"/>
    </w:pPr>
    <w:rPr>
      <w:rFonts w:ascii="Times New Roman" w:hAnsi="Times New Roman"/>
      <w:spacing w:val="10"/>
      <w:szCs w:val="20"/>
      <w:lang w:val="zh-CN"/>
    </w:rPr>
  </w:style>
  <w:style w:type="paragraph" w:customStyle="1" w:styleId="58">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默认段落字体 Para Char Char Char Char Char Char Char"/>
    <w:basedOn w:val="1"/>
    <w:qFormat/>
    <w:uiPriority w:val="0"/>
    <w:pPr>
      <w:adjustRightInd w:val="0"/>
      <w:spacing w:line="360" w:lineRule="auto"/>
    </w:pPr>
  </w:style>
  <w:style w:type="paragraph" w:customStyle="1" w:styleId="60">
    <w:name w:val="正文首行缩进1"/>
    <w:basedOn w:val="1"/>
    <w:qFormat/>
    <w:uiPriority w:val="0"/>
    <w:pPr>
      <w:spacing w:line="360" w:lineRule="auto"/>
      <w:ind w:firstLine="200" w:firstLineChars="200"/>
    </w:pPr>
    <w:rPr>
      <w:rFonts w:ascii="Times New Roman" w:hAnsi="Times New Roman"/>
      <w:sz w:val="24"/>
      <w:szCs w:val="20"/>
    </w:rPr>
  </w:style>
  <w:style w:type="character" w:customStyle="1" w:styleId="61">
    <w:name w:val="apple-converted-space"/>
    <w:qFormat/>
    <w:uiPriority w:val="0"/>
  </w:style>
  <w:style w:type="character" w:customStyle="1" w:styleId="62">
    <w:name w:val="font141"/>
    <w:qFormat/>
    <w:uiPriority w:val="0"/>
    <w:rPr>
      <w:rFonts w:hint="default" w:ascii="Times New Roman" w:hAnsi="Times New Roman" w:cs="Times New Roman"/>
      <w:color w:val="000000"/>
      <w:kern w:val="0"/>
      <w:sz w:val="14"/>
      <w:szCs w:val="14"/>
      <w:u w:val="none"/>
    </w:rPr>
  </w:style>
  <w:style w:type="character" w:customStyle="1" w:styleId="63">
    <w:name w:val="font151"/>
    <w:qFormat/>
    <w:uiPriority w:val="0"/>
    <w:rPr>
      <w:rFonts w:ascii="ArialMT" w:hAnsi="ArialMT" w:eastAsia="ArialMT" w:cs="ArialMT"/>
      <w:color w:val="000000"/>
      <w:kern w:val="0"/>
      <w:sz w:val="15"/>
      <w:szCs w:val="15"/>
      <w:u w:val="none"/>
    </w:rPr>
  </w:style>
  <w:style w:type="character" w:customStyle="1" w:styleId="64">
    <w:name w:val="font71"/>
    <w:qFormat/>
    <w:uiPriority w:val="0"/>
    <w:rPr>
      <w:rFonts w:hint="default" w:ascii="Verdana" w:hAnsi="Verdana" w:cs="Verdana"/>
      <w:b/>
      <w:color w:val="000000"/>
      <w:kern w:val="0"/>
      <w:sz w:val="20"/>
      <w:szCs w:val="20"/>
      <w:u w:val="none"/>
    </w:rPr>
  </w:style>
  <w:style w:type="character" w:customStyle="1" w:styleId="65">
    <w:name w:val="font121"/>
    <w:qFormat/>
    <w:uiPriority w:val="0"/>
    <w:rPr>
      <w:rFonts w:ascii="Symbol" w:hAnsi="Symbol" w:cs="Symbol"/>
      <w:color w:val="000000"/>
      <w:kern w:val="0"/>
      <w:sz w:val="20"/>
      <w:szCs w:val="20"/>
      <w:u w:val="none"/>
    </w:rPr>
  </w:style>
  <w:style w:type="character" w:customStyle="1" w:styleId="66">
    <w:name w:val="biaoti"/>
    <w:qFormat/>
    <w:uiPriority w:val="0"/>
    <w:rPr>
      <w:rFonts w:ascii="Calisto MT" w:hAnsi="Calisto MT" w:eastAsia="Calisto MT" w:cs="Calisto MT"/>
      <w:b/>
      <w:color w:val="FE434C"/>
      <w:kern w:val="0"/>
      <w:sz w:val="24"/>
      <w:szCs w:val="24"/>
      <w:u w:val="none"/>
    </w:rPr>
  </w:style>
  <w:style w:type="character" w:customStyle="1" w:styleId="67">
    <w:name w:val="style71"/>
    <w:qFormat/>
    <w:uiPriority w:val="0"/>
    <w:rPr>
      <w:color w:val="FF0000"/>
      <w:kern w:val="0"/>
      <w:sz w:val="24"/>
      <w:szCs w:val="20"/>
    </w:rPr>
  </w:style>
  <w:style w:type="character" w:customStyle="1" w:styleId="68">
    <w:name w:val="font11"/>
    <w:qFormat/>
    <w:uiPriority w:val="0"/>
    <w:rPr>
      <w:rFonts w:hint="eastAsia" w:ascii="宋体" w:hAnsi="宋体" w:eastAsia="宋体" w:cs="宋体"/>
      <w:b/>
      <w:color w:val="000000"/>
      <w:kern w:val="0"/>
      <w:sz w:val="16"/>
      <w:szCs w:val="16"/>
      <w:u w:val="none"/>
    </w:rPr>
  </w:style>
  <w:style w:type="character" w:customStyle="1" w:styleId="69">
    <w:name w:val="页脚 Char"/>
    <w:link w:val="21"/>
    <w:qFormat/>
    <w:locked/>
    <w:uiPriority w:val="99"/>
    <w:rPr>
      <w:kern w:val="2"/>
      <w:sz w:val="18"/>
    </w:rPr>
  </w:style>
  <w:style w:type="character" w:customStyle="1" w:styleId="70">
    <w:name w:val="font101"/>
    <w:qFormat/>
    <w:uiPriority w:val="0"/>
    <w:rPr>
      <w:rFonts w:ascii="Symbol" w:hAnsi="Symbol" w:cs="Symbol"/>
      <w:color w:val="000000"/>
      <w:kern w:val="0"/>
      <w:sz w:val="16"/>
      <w:szCs w:val="16"/>
      <w:u w:val="none"/>
    </w:rPr>
  </w:style>
  <w:style w:type="character" w:customStyle="1" w:styleId="71">
    <w:name w:val="font132"/>
    <w:qFormat/>
    <w:uiPriority w:val="0"/>
    <w:rPr>
      <w:rFonts w:ascii="Symbol" w:hAnsi="Symbol" w:cs="Symbol"/>
      <w:color w:val="000000"/>
      <w:kern w:val="0"/>
      <w:sz w:val="16"/>
      <w:szCs w:val="16"/>
      <w:u w:val="none"/>
    </w:rPr>
  </w:style>
  <w:style w:type="character" w:customStyle="1" w:styleId="72">
    <w:name w:val="font61"/>
    <w:qFormat/>
    <w:uiPriority w:val="0"/>
    <w:rPr>
      <w:rFonts w:hint="eastAsia" w:ascii="宋体" w:hAnsi="宋体" w:eastAsia="宋体" w:cs="宋体"/>
      <w:b/>
      <w:color w:val="000000"/>
      <w:kern w:val="0"/>
      <w:sz w:val="20"/>
      <w:szCs w:val="20"/>
      <w:u w:val="none"/>
    </w:rPr>
  </w:style>
  <w:style w:type="character" w:customStyle="1" w:styleId="73">
    <w:name w:val="font131"/>
    <w:qFormat/>
    <w:uiPriority w:val="0"/>
    <w:rPr>
      <w:rFonts w:hint="eastAsia" w:ascii="新宋体" w:hAnsi="新宋体" w:eastAsia="新宋体" w:cs="新宋体"/>
      <w:color w:val="000000"/>
      <w:kern w:val="0"/>
      <w:sz w:val="16"/>
      <w:szCs w:val="16"/>
      <w:u w:val="single"/>
    </w:rPr>
  </w:style>
  <w:style w:type="character" w:customStyle="1" w:styleId="74">
    <w:name w:val="font161"/>
    <w:qFormat/>
    <w:uiPriority w:val="0"/>
    <w:rPr>
      <w:rFonts w:ascii="ArialMT" w:hAnsi="ArialMT" w:eastAsia="ArialMT" w:cs="ArialMT"/>
      <w:color w:val="000000"/>
      <w:kern w:val="0"/>
      <w:sz w:val="15"/>
      <w:szCs w:val="15"/>
      <w:u w:val="none"/>
    </w:rPr>
  </w:style>
  <w:style w:type="character" w:customStyle="1" w:styleId="75">
    <w:name w:val="标题 2 Char"/>
    <w:link w:val="4"/>
    <w:qFormat/>
    <w:uiPriority w:val="0"/>
    <w:rPr>
      <w:rFonts w:ascii="Arial" w:hAnsi="Arial" w:eastAsia="黑体"/>
      <w:b/>
      <w:bCs/>
      <w:kern w:val="2"/>
      <w:sz w:val="32"/>
      <w:szCs w:val="32"/>
      <w:lang w:val="en-US" w:eastAsia="zh-CN" w:bidi="ar-SA"/>
    </w:rPr>
  </w:style>
  <w:style w:type="character" w:customStyle="1" w:styleId="76">
    <w:name w:val="font31"/>
    <w:qFormat/>
    <w:uiPriority w:val="0"/>
    <w:rPr>
      <w:rFonts w:hint="default" w:ascii="Verdana" w:hAnsi="Verdana" w:cs="Verdana"/>
      <w:color w:val="000000"/>
      <w:kern w:val="0"/>
      <w:sz w:val="20"/>
      <w:szCs w:val="20"/>
      <w:u w:val="none"/>
    </w:rPr>
  </w:style>
  <w:style w:type="character" w:customStyle="1" w:styleId="77">
    <w:name w:val="font91"/>
    <w:qFormat/>
    <w:uiPriority w:val="0"/>
    <w:rPr>
      <w:rFonts w:hint="eastAsia" w:ascii="宋体" w:hAnsi="宋体" w:eastAsia="宋体" w:cs="宋体"/>
      <w:color w:val="000000"/>
      <w:kern w:val="0"/>
      <w:sz w:val="20"/>
      <w:szCs w:val="20"/>
      <w:u w:val="none"/>
    </w:rPr>
  </w:style>
  <w:style w:type="character" w:customStyle="1" w:styleId="78">
    <w:name w:val="font81"/>
    <w:qFormat/>
    <w:uiPriority w:val="0"/>
    <w:rPr>
      <w:rFonts w:hint="default" w:ascii="Verdana" w:hAnsi="Verdana" w:cs="Verdana"/>
      <w:b/>
      <w:color w:val="339966"/>
      <w:kern w:val="0"/>
      <w:sz w:val="20"/>
      <w:szCs w:val="20"/>
      <w:u w:val="none"/>
    </w:rPr>
  </w:style>
  <w:style w:type="character" w:customStyle="1" w:styleId="79">
    <w:name w:val="font112"/>
    <w:qFormat/>
    <w:uiPriority w:val="0"/>
    <w:rPr>
      <w:rFonts w:hint="eastAsia" w:ascii="宋体" w:hAnsi="宋体" w:eastAsia="宋体" w:cs="宋体"/>
      <w:color w:val="000000"/>
      <w:kern w:val="0"/>
      <w:sz w:val="16"/>
      <w:szCs w:val="16"/>
      <w:u w:val="none"/>
    </w:rPr>
  </w:style>
  <w:style w:type="character" w:customStyle="1" w:styleId="80">
    <w:name w:val="正文文本缩进 Char"/>
    <w:link w:val="14"/>
    <w:qFormat/>
    <w:uiPriority w:val="0"/>
    <w:rPr>
      <w:kern w:val="2"/>
      <w:sz w:val="21"/>
      <w:szCs w:val="24"/>
    </w:rPr>
  </w:style>
  <w:style w:type="character" w:customStyle="1" w:styleId="81">
    <w:name w:val="font13"/>
    <w:qFormat/>
    <w:uiPriority w:val="0"/>
    <w:rPr>
      <w:rFonts w:hint="eastAsia" w:ascii="宋体" w:hAnsi="宋体" w:eastAsia="宋体" w:cs="宋体"/>
      <w:b/>
      <w:color w:val="000000"/>
      <w:kern w:val="0"/>
      <w:sz w:val="16"/>
      <w:szCs w:val="16"/>
      <w:u w:val="none"/>
    </w:rPr>
  </w:style>
  <w:style w:type="character" w:customStyle="1" w:styleId="82">
    <w:name w:val="font51"/>
    <w:qFormat/>
    <w:uiPriority w:val="0"/>
    <w:rPr>
      <w:rFonts w:hint="default" w:ascii="Verdana" w:hAnsi="Verdana" w:cs="Verdana"/>
      <w:color w:val="000000"/>
      <w:kern w:val="0"/>
      <w:sz w:val="20"/>
      <w:szCs w:val="20"/>
      <w:u w:val="none"/>
    </w:rPr>
  </w:style>
  <w:style w:type="character" w:customStyle="1" w:styleId="83">
    <w:name w:val="font21"/>
    <w:qFormat/>
    <w:uiPriority w:val="0"/>
    <w:rPr>
      <w:rFonts w:hint="eastAsia" w:ascii="宋体" w:hAnsi="宋体" w:eastAsia="宋体" w:cs="宋体"/>
      <w:color w:val="000000"/>
      <w:kern w:val="0"/>
      <w:sz w:val="16"/>
      <w:szCs w:val="16"/>
      <w:u w:val="none"/>
    </w:rPr>
  </w:style>
  <w:style w:type="character" w:customStyle="1" w:styleId="84">
    <w:name w:val="style91"/>
    <w:qFormat/>
    <w:uiPriority w:val="0"/>
    <w:rPr>
      <w:rFonts w:hint="default" w:ascii="ˎ̥" w:hAnsi="ˎ̥"/>
      <w:color w:val="666666"/>
      <w:sz w:val="16"/>
      <w:szCs w:val="16"/>
      <w:u w:val="none"/>
    </w:rPr>
  </w:style>
  <w:style w:type="character" w:customStyle="1" w:styleId="85">
    <w:name w:val="font41"/>
    <w:qFormat/>
    <w:uiPriority w:val="0"/>
    <w:rPr>
      <w:rFonts w:hint="eastAsia" w:ascii="新宋体" w:hAnsi="新宋体" w:eastAsia="新宋体" w:cs="新宋体"/>
      <w:color w:val="000000"/>
      <w:kern w:val="0"/>
      <w:sz w:val="16"/>
      <w:szCs w:val="16"/>
      <w:u w:val="none"/>
    </w:rPr>
  </w:style>
  <w:style w:type="character" w:customStyle="1" w:styleId="86">
    <w:name w:val="标题 3 Char"/>
    <w:link w:val="6"/>
    <w:qFormat/>
    <w:uiPriority w:val="0"/>
    <w:rPr>
      <w:b/>
      <w:bCs/>
      <w:szCs w:val="32"/>
    </w:rPr>
  </w:style>
  <w:style w:type="character" w:customStyle="1" w:styleId="87">
    <w:name w:val="font111"/>
    <w:qFormat/>
    <w:uiPriority w:val="0"/>
    <w:rPr>
      <w:rFonts w:hint="eastAsia" w:ascii="宋体" w:hAnsi="宋体" w:eastAsia="宋体" w:cs="宋体"/>
      <w:color w:val="000000"/>
      <w:kern w:val="0"/>
      <w:sz w:val="20"/>
      <w:szCs w:val="20"/>
      <w:u w:val="none"/>
    </w:rPr>
  </w:style>
  <w:style w:type="character" w:customStyle="1" w:styleId="88">
    <w:name w:val="font01"/>
    <w:basedOn w:val="32"/>
    <w:qFormat/>
    <w:uiPriority w:val="0"/>
    <w:rPr>
      <w:rFonts w:hint="eastAsia" w:ascii="微软雅黑" w:hAnsi="微软雅黑" w:eastAsia="微软雅黑" w:cs="微软雅黑"/>
      <w:color w:val="000000"/>
      <w:sz w:val="18"/>
      <w:szCs w:val="18"/>
      <w:u w:val="none"/>
    </w:rPr>
  </w:style>
  <w:style w:type="character" w:customStyle="1" w:styleId="89">
    <w:name w:val="批注文字 Char"/>
    <w:basedOn w:val="32"/>
    <w:link w:val="10"/>
    <w:qFormat/>
    <w:uiPriority w:val="0"/>
    <w:rPr>
      <w:kern w:val="2"/>
      <w:sz w:val="21"/>
      <w:szCs w:val="24"/>
    </w:rPr>
  </w:style>
  <w:style w:type="character" w:customStyle="1" w:styleId="90">
    <w:name w:val="批注主题 Char"/>
    <w:basedOn w:val="89"/>
    <w:link w:val="29"/>
    <w:qFormat/>
    <w:uiPriority w:val="0"/>
    <w:rPr>
      <w:b/>
      <w:bCs/>
      <w:kern w:val="2"/>
      <w:sz w:val="21"/>
      <w:szCs w:val="24"/>
    </w:rPr>
  </w:style>
  <w:style w:type="character" w:customStyle="1" w:styleId="91">
    <w:name w:val="纯文本 Char"/>
    <w:basedOn w:val="32"/>
    <w:link w:val="16"/>
    <w:qFormat/>
    <w:uiPriority w:val="0"/>
    <w:rPr>
      <w:rFonts w:ascii="宋体" w:hAnsi="Courier New"/>
      <w:kern w:val="2"/>
      <w:sz w:val="21"/>
    </w:rPr>
  </w:style>
  <w:style w:type="paragraph" w:customStyle="1" w:styleId="9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93">
    <w:name w:val="标题 5（有编号）（绿盟科技）"/>
    <w:basedOn w:val="1"/>
    <w:next w:val="1"/>
    <w:qFormat/>
    <w:uiPriority w:val="0"/>
    <w:pPr>
      <w:keepNext/>
      <w:keepLines/>
      <w:numPr>
        <w:ilvl w:val="4"/>
        <w:numId w:val="1"/>
      </w:numPr>
      <w:tabs>
        <w:tab w:val="left" w:pos="0"/>
      </w:tabs>
      <w:spacing w:before="280" w:after="156" w:line="377" w:lineRule="auto"/>
      <w:outlineLvl w:val="4"/>
    </w:pPr>
    <w:rPr>
      <w:rFonts w:ascii="Arial" w:hAnsi="Arial" w:eastAsia="黑体"/>
      <w:b/>
      <w:kern w:val="0"/>
      <w:szCs w:val="28"/>
    </w:rPr>
  </w:style>
  <w:style w:type="paragraph" w:customStyle="1" w:styleId="94">
    <w:name w:val="xl69"/>
    <w:basedOn w:val="1"/>
    <w:uiPriority w:val="0"/>
    <w:pPr>
      <w:widowControl/>
      <w:spacing w:before="100" w:beforeAutospacing="1" w:after="100" w:afterAutospacing="1"/>
      <w:jc w:val="left"/>
    </w:pPr>
    <w:rPr>
      <w:rFonts w:ascii="宋体" w:hAnsi="宋体" w:cs="宋体"/>
      <w:b/>
      <w:bCs/>
      <w:kern w:val="0"/>
      <w:sz w:val="24"/>
    </w:rPr>
  </w:style>
  <w:style w:type="paragraph" w:customStyle="1" w:styleId="95">
    <w:name w:val="xl70"/>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9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7">
    <w:name w:val="xl72"/>
    <w:basedOn w:val="1"/>
    <w:qFormat/>
    <w:uiPriority w:val="0"/>
    <w:pPr>
      <w:widowControl/>
      <w:spacing w:before="100" w:beforeAutospacing="1" w:after="100" w:afterAutospacing="1"/>
      <w:jc w:val="center"/>
    </w:pPr>
    <w:rPr>
      <w:rFonts w:ascii="宋体" w:hAnsi="宋体" w:cs="宋体"/>
      <w:b/>
      <w:bCs/>
      <w:kern w:val="0"/>
      <w:sz w:val="24"/>
    </w:rPr>
  </w:style>
  <w:style w:type="paragraph" w:customStyle="1" w:styleId="98">
    <w:name w:val="xl73"/>
    <w:basedOn w:val="1"/>
    <w:qFormat/>
    <w:uiPriority w:val="0"/>
    <w:pPr>
      <w:widowControl/>
      <w:spacing w:before="100" w:beforeAutospacing="1" w:after="100" w:afterAutospacing="1"/>
      <w:jc w:val="left"/>
    </w:pPr>
    <w:rPr>
      <w:rFonts w:ascii="宋体" w:hAnsi="宋体" w:cs="宋体"/>
      <w:kern w:val="0"/>
      <w:sz w:val="24"/>
    </w:rPr>
  </w:style>
  <w:style w:type="paragraph" w:customStyle="1" w:styleId="99">
    <w:name w:val="xl74"/>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0">
    <w:name w:val="xl7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1">
    <w:name w:val="xl7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xl7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0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
    <w:name w:val="xl8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1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0">
    <w:name w:val="xl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2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2">
    <w:name w:val="xl9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2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rPr>
  </w:style>
  <w:style w:type="paragraph" w:customStyle="1" w:styleId="1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125">
    <w:name w:val="xl100"/>
    <w:basedOn w:val="1"/>
    <w:qFormat/>
    <w:uiPriority w:val="0"/>
    <w:pPr>
      <w:widowControl/>
      <w:spacing w:before="100" w:beforeAutospacing="1" w:after="100" w:afterAutospacing="1"/>
      <w:jc w:val="center"/>
    </w:pPr>
    <w:rPr>
      <w:rFonts w:ascii="宋体" w:hAnsi="宋体" w:cs="宋体"/>
      <w:b/>
      <w:bCs/>
      <w:kern w:val="0"/>
      <w:sz w:val="44"/>
      <w:szCs w:val="44"/>
    </w:rPr>
  </w:style>
  <w:style w:type="paragraph" w:customStyle="1" w:styleId="126">
    <w:name w:val="xl101"/>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7">
    <w:name w:val="xl102"/>
    <w:basedOn w:val="1"/>
    <w:uiPriority w:val="0"/>
    <w:pPr>
      <w:widowControl/>
      <w:spacing w:before="100" w:beforeAutospacing="1" w:after="100" w:afterAutospacing="1"/>
      <w:jc w:val="center"/>
    </w:pPr>
    <w:rPr>
      <w:rFonts w:ascii="宋体" w:hAnsi="宋体" w:cs="宋体"/>
      <w:kern w:val="0"/>
      <w:sz w:val="44"/>
      <w:szCs w:val="44"/>
    </w:rPr>
  </w:style>
  <w:style w:type="paragraph" w:customStyle="1" w:styleId="128">
    <w:name w:val="xl103"/>
    <w:basedOn w:val="1"/>
    <w:qFormat/>
    <w:uiPriority w:val="0"/>
    <w:pPr>
      <w:widowControl/>
      <w:spacing w:before="100" w:beforeAutospacing="1" w:after="100" w:afterAutospacing="1"/>
      <w:jc w:val="center"/>
    </w:pPr>
    <w:rPr>
      <w:rFonts w:ascii="宋体" w:hAnsi="宋体" w:cs="宋体"/>
      <w:kern w:val="0"/>
      <w:sz w:val="44"/>
      <w:szCs w:val="44"/>
    </w:rPr>
  </w:style>
  <w:style w:type="paragraph" w:customStyle="1" w:styleId="129">
    <w:name w:val="xl104"/>
    <w:basedOn w:val="1"/>
    <w:qFormat/>
    <w:uiPriority w:val="0"/>
    <w:pPr>
      <w:widowControl/>
      <w:spacing w:before="100" w:beforeAutospacing="1" w:after="100" w:afterAutospacing="1"/>
      <w:jc w:val="right"/>
    </w:pPr>
    <w:rPr>
      <w:rFonts w:ascii="宋体" w:hAnsi="宋体" w:cs="宋体"/>
      <w:kern w:val="0"/>
      <w:sz w:val="18"/>
      <w:szCs w:val="18"/>
    </w:rPr>
  </w:style>
  <w:style w:type="paragraph" w:customStyle="1" w:styleId="130">
    <w:name w:val="xl105"/>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13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132">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rPr>
  </w:style>
  <w:style w:type="paragraph" w:customStyle="1" w:styleId="13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3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6">
    <w:name w:val="xl11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7">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39">
    <w:name w:val="xl11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41">
    <w:name w:val="font5"/>
    <w:basedOn w:val="1"/>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42">
    <w:name w:val="font6"/>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character" w:customStyle="1" w:styleId="143">
    <w:name w:val="页眉 Char"/>
    <w:basedOn w:val="32"/>
    <w:link w:val="22"/>
    <w:qFormat/>
    <w:uiPriority w:val="99"/>
    <w:rPr>
      <w:rFonts w:ascii="Calibri" w:hAnsi="Calibri"/>
      <w:kern w:val="2"/>
      <w:sz w:val="18"/>
    </w:rPr>
  </w:style>
  <w:style w:type="paragraph" w:customStyle="1" w:styleId="144">
    <w:name w:val="样式 首行缩进:  2 字符"/>
    <w:basedOn w:val="1"/>
    <w:qFormat/>
    <w:uiPriority w:val="0"/>
    <w:pPr>
      <w:ind w:firstLine="420" w:firstLineChars="200"/>
    </w:pPr>
    <w:rPr>
      <w:rFonts w:ascii="宋体" w:hAnsi="Times New Roman" w:cs="宋体"/>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7C3033-65D9-4775-AD3E-F0B0DC289EC5}">
  <ds:schemaRefs/>
</ds:datastoreItem>
</file>

<file path=docProps/app.xml><?xml version="1.0" encoding="utf-8"?>
<Properties xmlns="http://schemas.openxmlformats.org/officeDocument/2006/extended-properties" xmlns:vt="http://schemas.openxmlformats.org/officeDocument/2006/docPropsVTypes">
  <Template>Normal</Template>
  <Company>gxzb</Company>
  <Pages>1</Pages>
  <Words>22025</Words>
  <Characters>125546</Characters>
  <Lines>1046</Lines>
  <Paragraphs>294</Paragraphs>
  <TotalTime>0</TotalTime>
  <ScaleCrop>false</ScaleCrop>
  <LinksUpToDate>false</LinksUpToDate>
  <CharactersWithSpaces>147277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2021-11-05T03:03:00Z</dcterms:created>
  <dc:creator>ACER</dc:creator>
  <cp:lastModifiedBy>灵魂的呼叫</cp:lastModifiedBy>
  <cp:lastPrinted>2021-11-22T10:04:44Z</cp:lastPrinted>
  <dcterms:modified xsi:type="dcterms:W3CDTF">2021-11-22T10:10:12Z</dcterms:modified>
  <dc:title>中国人民银行昌都地区中心支行</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EE8AEF7A35974FC38012B4AFFDDC1B68</vt:lpwstr>
  </property>
</Properties>
</file>