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57" w:leftChars="27" w:right="57"/>
        <w:jc w:val="center"/>
        <w:rPr>
          <w:rFonts w:ascii="仿宋" w:hAnsi="仿宋" w:eastAsia="仿宋" w:cs="仿宋"/>
          <w:b/>
          <w:bCs/>
          <w:sz w:val="52"/>
          <w:szCs w:val="52"/>
        </w:rPr>
      </w:pPr>
      <w:bookmarkStart w:id="0" w:name="_Toc47416177"/>
      <w:bookmarkStart w:id="1" w:name="_Toc49019216"/>
      <w:bookmarkStart w:id="2" w:name="_Toc47415923"/>
      <w:bookmarkStart w:id="3" w:name="_Toc16688"/>
      <w:bookmarkStart w:id="4" w:name="_Toc87205231"/>
      <w:r>
        <w:rPr>
          <w:rFonts w:hint="eastAsia" w:ascii="仿宋" w:hAnsi="仿宋" w:eastAsia="仿宋" w:cs="仿宋"/>
          <w:b/>
          <w:bCs/>
          <w:sz w:val="52"/>
          <w:szCs w:val="52"/>
          <w:lang w:val="en-US" w:eastAsia="zh-CN"/>
        </w:rPr>
        <w:t>西藏康城肿瘤医院药品</w:t>
      </w:r>
      <w:r>
        <w:rPr>
          <w:rFonts w:hint="eastAsia" w:ascii="仿宋" w:hAnsi="仿宋" w:eastAsia="仿宋" w:cs="仿宋"/>
          <w:b/>
          <w:bCs/>
          <w:sz w:val="52"/>
          <w:szCs w:val="52"/>
        </w:rPr>
        <w:t>采购项目</w:t>
      </w:r>
    </w:p>
    <w:p>
      <w:pPr>
        <w:widowControl/>
        <w:ind w:left="57" w:leftChars="27" w:right="57"/>
        <w:jc w:val="center"/>
        <w:rPr>
          <w:rFonts w:ascii="仿宋" w:hAnsi="仿宋" w:eastAsia="仿宋" w:cs="仿宋"/>
          <w:b/>
          <w:bCs/>
          <w:sz w:val="44"/>
          <w:szCs w:val="44"/>
        </w:rPr>
      </w:pPr>
    </w:p>
    <w:p>
      <w:pPr>
        <w:widowControl/>
        <w:ind w:left="57" w:leftChars="27" w:right="57" w:firstLine="209" w:firstLineChars="99"/>
        <w:jc w:val="left"/>
        <w:rPr>
          <w:rFonts w:ascii="仿宋" w:hAnsi="仿宋" w:eastAsia="仿宋" w:cs="仿宋"/>
          <w:b/>
          <w:kern w:val="0"/>
        </w:rPr>
      </w:pPr>
    </w:p>
    <w:p>
      <w:pPr>
        <w:widowControl/>
        <w:ind w:left="57" w:leftChars="27" w:right="57" w:firstLine="209" w:firstLineChars="99"/>
        <w:jc w:val="left"/>
        <w:rPr>
          <w:rFonts w:ascii="仿宋" w:hAnsi="仿宋" w:eastAsia="仿宋" w:cs="仿宋"/>
          <w:b/>
          <w:kern w:val="0"/>
        </w:rPr>
      </w:pPr>
    </w:p>
    <w:p>
      <w:pPr>
        <w:pStyle w:val="2"/>
        <w:rPr>
          <w:rFonts w:ascii="仿宋" w:hAnsi="仿宋" w:eastAsia="仿宋" w:cs="仿宋"/>
          <w:b/>
          <w:color w:val="auto"/>
        </w:rPr>
      </w:pPr>
    </w:p>
    <w:p>
      <w:pPr>
        <w:pStyle w:val="2"/>
        <w:rPr>
          <w:rFonts w:ascii="仿宋" w:hAnsi="仿宋" w:eastAsia="仿宋" w:cs="仿宋"/>
          <w:b/>
          <w:color w:val="auto"/>
        </w:rPr>
      </w:pPr>
    </w:p>
    <w:p>
      <w:pPr>
        <w:pStyle w:val="2"/>
        <w:rPr>
          <w:rFonts w:ascii="仿宋" w:hAnsi="仿宋" w:eastAsia="仿宋" w:cs="仿宋"/>
          <w:b/>
          <w:color w:val="auto"/>
        </w:rPr>
      </w:pPr>
    </w:p>
    <w:p>
      <w:pPr>
        <w:widowControl/>
        <w:ind w:left="57" w:leftChars="27" w:right="57" w:firstLine="209" w:firstLineChars="99"/>
        <w:jc w:val="left"/>
        <w:rPr>
          <w:rFonts w:ascii="仿宋" w:hAnsi="仿宋" w:eastAsia="仿宋" w:cs="仿宋"/>
          <w:b/>
          <w:kern w:val="0"/>
        </w:rPr>
      </w:pPr>
    </w:p>
    <w:p>
      <w:pPr>
        <w:widowControl/>
        <w:ind w:left="57" w:leftChars="27" w:right="57" w:firstLine="209" w:firstLineChars="99"/>
        <w:jc w:val="left"/>
        <w:rPr>
          <w:rFonts w:ascii="仿宋" w:hAnsi="仿宋" w:eastAsia="仿宋" w:cs="仿宋"/>
          <w:b/>
          <w:kern w:val="0"/>
        </w:rPr>
      </w:pPr>
    </w:p>
    <w:p>
      <w:pPr>
        <w:widowControl/>
        <w:ind w:left="57" w:leftChars="27" w:right="57" w:firstLine="209" w:firstLineChars="99"/>
        <w:jc w:val="left"/>
        <w:rPr>
          <w:rFonts w:ascii="仿宋" w:hAnsi="仿宋" w:eastAsia="仿宋" w:cs="仿宋"/>
          <w:b/>
          <w:kern w:val="0"/>
        </w:rPr>
      </w:pPr>
    </w:p>
    <w:p>
      <w:pPr>
        <w:widowControl/>
        <w:ind w:right="57"/>
        <w:jc w:val="left"/>
        <w:rPr>
          <w:rFonts w:ascii="仿宋" w:hAnsi="仿宋" w:eastAsia="仿宋" w:cs="仿宋"/>
          <w:b/>
          <w:kern w:val="0"/>
        </w:rPr>
      </w:pPr>
    </w:p>
    <w:p>
      <w:pPr>
        <w:widowControl/>
        <w:tabs>
          <w:tab w:val="left" w:pos="7185"/>
        </w:tabs>
        <w:ind w:right="57"/>
        <w:jc w:val="left"/>
        <w:rPr>
          <w:rFonts w:ascii="仿宋" w:hAnsi="仿宋" w:eastAsia="仿宋" w:cs="仿宋"/>
          <w:b/>
          <w:kern w:val="0"/>
        </w:rPr>
      </w:pPr>
    </w:p>
    <w:p>
      <w:pPr>
        <w:widowControl/>
        <w:tabs>
          <w:tab w:val="left" w:pos="7185"/>
        </w:tabs>
        <w:ind w:left="57" w:leftChars="27" w:right="57" w:firstLine="209" w:firstLineChars="99"/>
        <w:jc w:val="left"/>
        <w:rPr>
          <w:rFonts w:ascii="仿宋" w:hAnsi="仿宋" w:eastAsia="仿宋" w:cs="仿宋"/>
          <w:b/>
          <w:kern w:val="0"/>
        </w:rPr>
      </w:pPr>
      <w:r>
        <w:rPr>
          <w:rFonts w:hint="eastAsia" w:ascii="仿宋" w:hAnsi="仿宋" w:eastAsia="仿宋" w:cs="仿宋"/>
          <w:b/>
          <w:kern w:val="0"/>
        </w:rPr>
        <w:tab/>
      </w:r>
    </w:p>
    <w:p>
      <w:pPr>
        <w:widowControl/>
        <w:ind w:right="57"/>
        <w:jc w:val="center"/>
        <w:rPr>
          <w:rFonts w:ascii="仿宋" w:hAnsi="仿宋" w:eastAsia="仿宋" w:cs="仿宋"/>
          <w:b/>
          <w:kern w:val="0"/>
          <w:sz w:val="72"/>
          <w:szCs w:val="72"/>
        </w:rPr>
      </w:pPr>
      <w:r>
        <w:rPr>
          <w:rFonts w:hint="eastAsia" w:ascii="仿宋" w:hAnsi="仿宋" w:eastAsia="仿宋" w:cs="仿宋"/>
          <w:b/>
          <w:kern w:val="0"/>
          <w:sz w:val="72"/>
          <w:szCs w:val="72"/>
        </w:rPr>
        <w:t>招 标 文 件</w:t>
      </w:r>
    </w:p>
    <w:p>
      <w:pPr>
        <w:widowControl/>
        <w:ind w:right="57"/>
        <w:jc w:val="center"/>
        <w:rPr>
          <w:rFonts w:ascii="仿宋" w:hAnsi="仿宋" w:eastAsia="仿宋" w:cs="仿宋"/>
          <w:b/>
          <w:kern w:val="0"/>
          <w:sz w:val="32"/>
          <w:szCs w:val="32"/>
        </w:rPr>
      </w:pPr>
      <w:r>
        <w:rPr>
          <w:rFonts w:hint="eastAsia" w:ascii="仿宋" w:hAnsi="仿宋" w:eastAsia="仿宋" w:cs="仿宋"/>
          <w:b/>
          <w:kern w:val="0"/>
          <w:sz w:val="32"/>
          <w:szCs w:val="32"/>
        </w:rPr>
        <w:t>（项目编号：</w:t>
      </w:r>
      <w:r>
        <w:rPr>
          <w:rFonts w:hint="eastAsia" w:ascii="仿宋" w:hAnsi="仿宋" w:eastAsia="仿宋" w:cs="仿宋"/>
          <w:b/>
          <w:kern w:val="0"/>
          <w:sz w:val="32"/>
          <w:szCs w:val="32"/>
          <w:lang w:val="en-US" w:eastAsia="zh-CN"/>
        </w:rPr>
        <w:t>XXKCZLYY210001</w:t>
      </w:r>
      <w:r>
        <w:rPr>
          <w:rFonts w:hint="eastAsia" w:ascii="仿宋" w:hAnsi="仿宋" w:eastAsia="仿宋" w:cs="仿宋"/>
          <w:b/>
          <w:kern w:val="0"/>
          <w:sz w:val="32"/>
          <w:szCs w:val="32"/>
        </w:rPr>
        <w:t>）</w:t>
      </w:r>
    </w:p>
    <w:p>
      <w:pPr>
        <w:widowControl/>
        <w:ind w:right="57"/>
        <w:jc w:val="left"/>
        <w:rPr>
          <w:rFonts w:ascii="仿宋" w:hAnsi="仿宋" w:eastAsia="仿宋" w:cs="仿宋"/>
          <w:bCs/>
          <w:kern w:val="0"/>
          <w:sz w:val="28"/>
        </w:rPr>
      </w:pPr>
    </w:p>
    <w:p>
      <w:pPr>
        <w:widowControl/>
        <w:ind w:left="57" w:right="57" w:firstLine="57"/>
        <w:jc w:val="left"/>
        <w:rPr>
          <w:rFonts w:ascii="仿宋" w:hAnsi="仿宋" w:eastAsia="仿宋" w:cs="仿宋"/>
          <w:bCs/>
          <w:kern w:val="0"/>
          <w:sz w:val="28"/>
        </w:rPr>
      </w:pPr>
    </w:p>
    <w:p>
      <w:pPr>
        <w:widowControl/>
        <w:ind w:left="57" w:right="57" w:firstLine="57"/>
        <w:jc w:val="left"/>
        <w:rPr>
          <w:rFonts w:ascii="仿宋" w:hAnsi="仿宋" w:eastAsia="仿宋" w:cs="仿宋"/>
          <w:bCs/>
          <w:kern w:val="0"/>
          <w:sz w:val="28"/>
        </w:rPr>
      </w:pPr>
    </w:p>
    <w:p>
      <w:pPr>
        <w:widowControl/>
        <w:ind w:right="57"/>
        <w:jc w:val="left"/>
        <w:rPr>
          <w:rFonts w:ascii="仿宋" w:hAnsi="仿宋" w:eastAsia="仿宋" w:cs="仿宋"/>
          <w:b/>
          <w:kern w:val="0"/>
          <w:sz w:val="32"/>
        </w:rPr>
      </w:pPr>
    </w:p>
    <w:p>
      <w:pPr>
        <w:widowControl/>
        <w:ind w:left="2168" w:right="57" w:hanging="2168" w:hangingChars="675"/>
        <w:jc w:val="left"/>
        <w:rPr>
          <w:rFonts w:ascii="仿宋" w:hAnsi="仿宋" w:eastAsia="仿宋" w:cs="仿宋"/>
          <w:b/>
          <w:kern w:val="0"/>
          <w:sz w:val="32"/>
        </w:rPr>
      </w:pPr>
    </w:p>
    <w:p>
      <w:pPr>
        <w:pStyle w:val="2"/>
      </w:pPr>
    </w:p>
    <w:p>
      <w:pPr>
        <w:widowControl/>
        <w:ind w:left="2168" w:right="57" w:hanging="2168" w:hangingChars="675"/>
        <w:jc w:val="left"/>
        <w:rPr>
          <w:rFonts w:ascii="仿宋" w:hAnsi="仿宋" w:eastAsia="仿宋" w:cs="仿宋"/>
          <w:b/>
          <w:kern w:val="0"/>
          <w:sz w:val="32"/>
        </w:rPr>
      </w:pPr>
    </w:p>
    <w:p>
      <w:pPr>
        <w:widowControl/>
        <w:ind w:left="2168" w:right="57" w:hanging="2168" w:hangingChars="675"/>
        <w:jc w:val="left"/>
        <w:rPr>
          <w:rFonts w:ascii="仿宋" w:hAnsi="仿宋" w:eastAsia="仿宋" w:cs="仿宋"/>
          <w:b/>
          <w:kern w:val="0"/>
          <w:sz w:val="32"/>
        </w:rPr>
      </w:pPr>
    </w:p>
    <w:p>
      <w:pPr>
        <w:widowControl/>
        <w:ind w:left="2168" w:right="57" w:hanging="2168" w:hangingChars="675"/>
        <w:jc w:val="left"/>
        <w:rPr>
          <w:rFonts w:ascii="仿宋" w:hAnsi="仿宋" w:eastAsia="仿宋" w:cs="仿宋"/>
          <w:b/>
          <w:kern w:val="0"/>
          <w:sz w:val="32"/>
        </w:rPr>
      </w:pPr>
    </w:p>
    <w:p>
      <w:pPr>
        <w:widowControl/>
        <w:ind w:left="2168" w:right="57" w:hanging="2168" w:hangingChars="675"/>
        <w:jc w:val="center"/>
        <w:rPr>
          <w:rFonts w:ascii="仿宋" w:hAnsi="仿宋" w:eastAsia="仿宋" w:cs="仿宋"/>
          <w:b/>
          <w:kern w:val="0"/>
          <w:sz w:val="32"/>
        </w:rPr>
      </w:pPr>
    </w:p>
    <w:p>
      <w:pPr>
        <w:widowControl/>
        <w:ind w:left="2162" w:leftChars="762" w:right="57" w:hanging="562" w:hangingChars="175"/>
        <w:rPr>
          <w:rFonts w:hint="eastAsia" w:ascii="仿宋" w:hAnsi="仿宋" w:eastAsia="仿宋" w:cs="仿宋"/>
          <w:b/>
          <w:kern w:val="0"/>
          <w:sz w:val="32"/>
          <w:lang w:val="en-US" w:eastAsia="zh-CN"/>
        </w:rPr>
      </w:pPr>
      <w:r>
        <w:rPr>
          <w:rFonts w:hint="eastAsia" w:ascii="仿宋" w:hAnsi="仿宋" w:eastAsia="仿宋" w:cs="仿宋"/>
          <w:b/>
          <w:kern w:val="0"/>
          <w:sz w:val="32"/>
        </w:rPr>
        <w:t>采  购  人：</w:t>
      </w:r>
      <w:r>
        <w:rPr>
          <w:rFonts w:hint="eastAsia" w:ascii="仿宋" w:hAnsi="仿宋" w:eastAsia="仿宋" w:cs="仿宋"/>
          <w:b/>
          <w:kern w:val="0"/>
          <w:sz w:val="32"/>
          <w:lang w:val="en-US" w:eastAsia="zh-CN"/>
        </w:rPr>
        <w:t>西藏康城医疗管理有限公司</w:t>
      </w:r>
    </w:p>
    <w:p>
      <w:pPr>
        <w:widowControl/>
        <w:ind w:left="2168" w:right="57" w:hanging="2168" w:hangingChars="675"/>
        <w:jc w:val="center"/>
        <w:rPr>
          <w:rFonts w:ascii="仿宋" w:hAnsi="仿宋" w:eastAsia="仿宋" w:cs="仿宋"/>
          <w:b/>
          <w:kern w:val="0"/>
          <w:sz w:val="32"/>
        </w:rPr>
      </w:pPr>
    </w:p>
    <w:p>
      <w:pPr>
        <w:widowControl/>
        <w:ind w:right="57"/>
        <w:jc w:val="center"/>
        <w:rPr>
          <w:rFonts w:ascii="仿宋" w:hAnsi="仿宋" w:eastAsia="仿宋" w:cs="仿宋"/>
          <w:b/>
          <w:kern w:val="0"/>
          <w:sz w:val="32"/>
        </w:rPr>
      </w:pPr>
    </w:p>
    <w:p>
      <w:pPr>
        <w:widowControl/>
        <w:ind w:right="57" w:firstLine="1606" w:firstLineChars="500"/>
        <w:rPr>
          <w:rFonts w:ascii="仿宋" w:hAnsi="仿宋" w:eastAsia="仿宋" w:cs="仿宋"/>
          <w:b/>
          <w:kern w:val="0"/>
          <w:sz w:val="32"/>
        </w:rPr>
      </w:pPr>
      <w:r>
        <w:rPr>
          <w:rFonts w:hint="eastAsia" w:ascii="仿宋" w:hAnsi="仿宋" w:eastAsia="仿宋" w:cs="仿宋"/>
          <w:b/>
          <w:kern w:val="0"/>
          <w:sz w:val="32"/>
        </w:rPr>
        <w:t>日     期： 2021年11 月</w:t>
      </w:r>
    </w:p>
    <w:p>
      <w:pPr>
        <w:widowControl/>
        <w:ind w:right="57"/>
        <w:jc w:val="left"/>
        <w:rPr>
          <w:rFonts w:ascii="仿宋" w:hAnsi="仿宋" w:eastAsia="仿宋" w:cs="仿宋"/>
          <w:b/>
          <w:bCs/>
          <w:kern w:val="0"/>
          <w:sz w:val="32"/>
          <w:szCs w:val="32"/>
        </w:rPr>
      </w:pPr>
    </w:p>
    <w:p>
      <w:pPr>
        <w:pageBreakBefore/>
        <w:spacing w:line="360" w:lineRule="auto"/>
        <w:ind w:left="284" w:hanging="284"/>
        <w:jc w:val="center"/>
        <w:rPr>
          <w:rFonts w:ascii="仿宋" w:hAnsi="仿宋" w:eastAsia="仿宋" w:cs="仿宋"/>
          <w:b/>
          <w:bCs/>
          <w:sz w:val="36"/>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737" w:footer="737" w:gutter="0"/>
          <w:pgNumType w:fmt="numberInDash"/>
          <w:cols w:space="720" w:num="1"/>
          <w:titlePg/>
        </w:sectPr>
      </w:pPr>
    </w:p>
    <w:sdt>
      <w:sdtPr>
        <w:rPr>
          <w:rFonts w:ascii="Calibri" w:hAnsi="Calibri" w:eastAsia="宋体" w:cs="Times New Roman"/>
          <w:b w:val="0"/>
          <w:bCs w:val="0"/>
          <w:color w:val="auto"/>
          <w:w w:val="90"/>
          <w:kern w:val="2"/>
          <w:sz w:val="21"/>
          <w:szCs w:val="24"/>
          <w:lang w:val="zh-CN"/>
        </w:rPr>
        <w:id w:val="1291466633"/>
        <w:docPartObj>
          <w:docPartGallery w:val="Table of Contents"/>
          <w:docPartUnique/>
        </w:docPartObj>
      </w:sdtPr>
      <w:sdtEndPr>
        <w:rPr>
          <w:rStyle w:val="36"/>
          <w:rFonts w:ascii="黑体" w:hAnsi="Calibri" w:eastAsia="黑体" w:cs="Times New Roman"/>
          <w:b w:val="0"/>
          <w:bCs w:val="0"/>
          <w:color w:val="333333"/>
          <w:w w:val="90"/>
          <w:kern w:val="0"/>
          <w:sz w:val="28"/>
          <w:szCs w:val="28"/>
          <w:lang w:val="en-US"/>
        </w:rPr>
      </w:sdtEndPr>
      <w:sdtContent>
        <w:p>
          <w:pPr>
            <w:pStyle w:val="92"/>
            <w:spacing w:line="360" w:lineRule="auto"/>
            <w:jc w:val="center"/>
          </w:pPr>
          <w:bookmarkStart w:id="5" w:name="_Toc28359001"/>
          <w:bookmarkStart w:id="6" w:name="_Toc35393789"/>
          <w:r>
            <w:rPr>
              <w:lang w:val="zh-CN"/>
            </w:rPr>
            <w:t>目录</w:t>
          </w:r>
        </w:p>
        <w:p>
          <w:pPr>
            <w:pStyle w:val="23"/>
            <w:spacing w:line="360" w:lineRule="auto"/>
            <w:rPr>
              <w:rStyle w:val="36"/>
              <w:sz w:val="28"/>
              <w:szCs w:val="28"/>
            </w:rPr>
          </w:pPr>
          <w:r>
            <w:rPr>
              <w:rStyle w:val="36"/>
              <w:sz w:val="28"/>
              <w:szCs w:val="28"/>
            </w:rPr>
            <w:fldChar w:fldCharType="begin"/>
          </w:r>
          <w:r>
            <w:rPr>
              <w:rStyle w:val="36"/>
              <w:sz w:val="28"/>
              <w:szCs w:val="28"/>
            </w:rPr>
            <w:instrText xml:space="preserve"> TOC \o "1-3" \h \z \u </w:instrText>
          </w:r>
          <w:r>
            <w:rPr>
              <w:rStyle w:val="36"/>
              <w:sz w:val="28"/>
              <w:szCs w:val="28"/>
            </w:rPr>
            <w:fldChar w:fldCharType="separate"/>
          </w:r>
          <w:r>
            <w:fldChar w:fldCharType="begin"/>
          </w:r>
          <w:r>
            <w:instrText xml:space="preserve"> HYPERLINK \l "_Toc87205230" </w:instrText>
          </w:r>
          <w:r>
            <w:fldChar w:fldCharType="separate"/>
          </w:r>
          <w:r>
            <w:rPr>
              <w:rStyle w:val="36"/>
              <w:rFonts w:hint="eastAsia"/>
              <w:sz w:val="28"/>
              <w:szCs w:val="28"/>
            </w:rPr>
            <w:t>第一章</w:t>
          </w:r>
          <w:r>
            <w:rPr>
              <w:rStyle w:val="36"/>
              <w:sz w:val="28"/>
              <w:szCs w:val="28"/>
            </w:rPr>
            <w:t xml:space="preserve"> </w:t>
          </w:r>
          <w:r>
            <w:rPr>
              <w:rStyle w:val="36"/>
              <w:rFonts w:hint="eastAsia"/>
              <w:sz w:val="28"/>
              <w:szCs w:val="28"/>
            </w:rPr>
            <w:t>招标公告</w:t>
          </w:r>
          <w:r>
            <w:rPr>
              <w:rStyle w:val="36"/>
              <w:sz w:val="28"/>
              <w:szCs w:val="28"/>
            </w:rPr>
            <w:tab/>
          </w:r>
          <w:r>
            <w:rPr>
              <w:rStyle w:val="36"/>
              <w:sz w:val="28"/>
              <w:szCs w:val="28"/>
            </w:rPr>
            <w:fldChar w:fldCharType="begin"/>
          </w:r>
          <w:r>
            <w:rPr>
              <w:rStyle w:val="36"/>
              <w:sz w:val="28"/>
              <w:szCs w:val="28"/>
            </w:rPr>
            <w:instrText xml:space="preserve"> PAGEREF _Toc87205230 \h </w:instrText>
          </w:r>
          <w:r>
            <w:rPr>
              <w:rStyle w:val="36"/>
              <w:sz w:val="28"/>
              <w:szCs w:val="28"/>
            </w:rPr>
            <w:fldChar w:fldCharType="separate"/>
          </w:r>
          <w:r>
            <w:rPr>
              <w:rStyle w:val="36"/>
              <w:sz w:val="28"/>
              <w:szCs w:val="28"/>
            </w:rPr>
            <w:t>- 2 -</w:t>
          </w:r>
          <w:r>
            <w:rPr>
              <w:rStyle w:val="36"/>
              <w:sz w:val="28"/>
              <w:szCs w:val="28"/>
            </w:rPr>
            <w:fldChar w:fldCharType="end"/>
          </w:r>
          <w:r>
            <w:rPr>
              <w:rStyle w:val="36"/>
              <w:sz w:val="28"/>
              <w:szCs w:val="28"/>
            </w:rPr>
            <w:fldChar w:fldCharType="end"/>
          </w:r>
        </w:p>
        <w:p>
          <w:pPr>
            <w:pStyle w:val="23"/>
            <w:spacing w:line="360" w:lineRule="auto"/>
            <w:rPr>
              <w:rStyle w:val="36"/>
              <w:sz w:val="28"/>
              <w:szCs w:val="28"/>
            </w:rPr>
          </w:pPr>
          <w:r>
            <w:fldChar w:fldCharType="begin"/>
          </w:r>
          <w:r>
            <w:instrText xml:space="preserve"> HYPERLINK \l "_Toc87205231" </w:instrText>
          </w:r>
          <w:r>
            <w:fldChar w:fldCharType="separate"/>
          </w:r>
          <w:r>
            <w:rPr>
              <w:rStyle w:val="36"/>
              <w:rFonts w:hint="eastAsia"/>
              <w:sz w:val="28"/>
              <w:szCs w:val="28"/>
            </w:rPr>
            <w:t>第二章</w:t>
          </w:r>
          <w:r>
            <w:rPr>
              <w:rStyle w:val="36"/>
              <w:sz w:val="28"/>
              <w:szCs w:val="28"/>
            </w:rPr>
            <w:t xml:space="preserve"> </w:t>
          </w:r>
          <w:r>
            <w:rPr>
              <w:rStyle w:val="36"/>
              <w:rFonts w:hint="eastAsia"/>
              <w:sz w:val="28"/>
              <w:szCs w:val="28"/>
            </w:rPr>
            <w:t>投标人须知前附表</w:t>
          </w:r>
          <w:r>
            <w:rPr>
              <w:rStyle w:val="36"/>
              <w:sz w:val="28"/>
              <w:szCs w:val="28"/>
            </w:rPr>
            <w:tab/>
          </w:r>
          <w:r>
            <w:rPr>
              <w:rStyle w:val="36"/>
              <w:sz w:val="28"/>
              <w:szCs w:val="28"/>
            </w:rPr>
            <w:fldChar w:fldCharType="begin"/>
          </w:r>
          <w:r>
            <w:rPr>
              <w:rStyle w:val="36"/>
              <w:sz w:val="28"/>
              <w:szCs w:val="28"/>
            </w:rPr>
            <w:instrText xml:space="preserve"> PAGEREF _Toc87205231 \h </w:instrText>
          </w:r>
          <w:r>
            <w:rPr>
              <w:rStyle w:val="36"/>
              <w:sz w:val="28"/>
              <w:szCs w:val="28"/>
            </w:rPr>
            <w:fldChar w:fldCharType="separate"/>
          </w:r>
          <w:r>
            <w:rPr>
              <w:rStyle w:val="36"/>
              <w:sz w:val="28"/>
              <w:szCs w:val="28"/>
            </w:rPr>
            <w:t>- 1 -</w:t>
          </w:r>
          <w:r>
            <w:rPr>
              <w:rStyle w:val="36"/>
              <w:sz w:val="28"/>
              <w:szCs w:val="28"/>
            </w:rPr>
            <w:fldChar w:fldCharType="end"/>
          </w:r>
          <w:r>
            <w:rPr>
              <w:rStyle w:val="36"/>
              <w:sz w:val="28"/>
              <w:szCs w:val="28"/>
            </w:rPr>
            <w:fldChar w:fldCharType="end"/>
          </w:r>
        </w:p>
        <w:p>
          <w:pPr>
            <w:pStyle w:val="23"/>
            <w:spacing w:line="360" w:lineRule="auto"/>
            <w:rPr>
              <w:rStyle w:val="36"/>
              <w:sz w:val="28"/>
              <w:szCs w:val="28"/>
            </w:rPr>
          </w:pPr>
          <w:r>
            <w:fldChar w:fldCharType="begin"/>
          </w:r>
          <w:r>
            <w:instrText xml:space="preserve"> HYPERLINK \l "_Toc87205232" </w:instrText>
          </w:r>
          <w:r>
            <w:fldChar w:fldCharType="separate"/>
          </w:r>
          <w:r>
            <w:rPr>
              <w:rStyle w:val="36"/>
              <w:rFonts w:hint="eastAsia"/>
              <w:sz w:val="28"/>
              <w:szCs w:val="28"/>
            </w:rPr>
            <w:t>第三章</w:t>
          </w:r>
          <w:r>
            <w:rPr>
              <w:rStyle w:val="36"/>
              <w:sz w:val="28"/>
              <w:szCs w:val="28"/>
            </w:rPr>
            <w:t xml:space="preserve"> </w:t>
          </w:r>
          <w:r>
            <w:rPr>
              <w:rStyle w:val="36"/>
              <w:rFonts w:hint="eastAsia"/>
              <w:sz w:val="28"/>
              <w:szCs w:val="28"/>
            </w:rPr>
            <w:t>投标人须知</w:t>
          </w:r>
          <w:r>
            <w:rPr>
              <w:rStyle w:val="36"/>
              <w:sz w:val="28"/>
              <w:szCs w:val="28"/>
            </w:rPr>
            <w:tab/>
          </w:r>
          <w:r>
            <w:rPr>
              <w:rStyle w:val="36"/>
              <w:sz w:val="28"/>
              <w:szCs w:val="28"/>
            </w:rPr>
            <w:fldChar w:fldCharType="begin"/>
          </w:r>
          <w:r>
            <w:rPr>
              <w:rStyle w:val="36"/>
              <w:sz w:val="28"/>
              <w:szCs w:val="28"/>
            </w:rPr>
            <w:instrText xml:space="preserve"> PAGEREF _Toc87205232 \h </w:instrText>
          </w:r>
          <w:r>
            <w:rPr>
              <w:rStyle w:val="36"/>
              <w:sz w:val="28"/>
              <w:szCs w:val="28"/>
            </w:rPr>
            <w:fldChar w:fldCharType="separate"/>
          </w:r>
          <w:r>
            <w:rPr>
              <w:rStyle w:val="36"/>
              <w:sz w:val="28"/>
              <w:szCs w:val="28"/>
            </w:rPr>
            <w:t>- 11 -</w:t>
          </w:r>
          <w:r>
            <w:rPr>
              <w:rStyle w:val="36"/>
              <w:sz w:val="28"/>
              <w:szCs w:val="28"/>
            </w:rPr>
            <w:fldChar w:fldCharType="end"/>
          </w:r>
          <w:r>
            <w:rPr>
              <w:rStyle w:val="36"/>
              <w:sz w:val="28"/>
              <w:szCs w:val="28"/>
            </w:rPr>
            <w:fldChar w:fldCharType="end"/>
          </w:r>
        </w:p>
        <w:p>
          <w:pPr>
            <w:pStyle w:val="23"/>
            <w:spacing w:line="360" w:lineRule="auto"/>
            <w:rPr>
              <w:rStyle w:val="36"/>
              <w:sz w:val="28"/>
              <w:szCs w:val="28"/>
            </w:rPr>
          </w:pPr>
          <w:r>
            <w:fldChar w:fldCharType="begin"/>
          </w:r>
          <w:r>
            <w:instrText xml:space="preserve"> HYPERLINK \l "_Toc87205268" </w:instrText>
          </w:r>
          <w:r>
            <w:fldChar w:fldCharType="separate"/>
          </w:r>
          <w:r>
            <w:rPr>
              <w:rStyle w:val="36"/>
              <w:rFonts w:hint="eastAsia"/>
              <w:sz w:val="28"/>
              <w:szCs w:val="28"/>
            </w:rPr>
            <w:t>第四章</w:t>
          </w:r>
          <w:r>
            <w:rPr>
              <w:rStyle w:val="36"/>
              <w:sz w:val="28"/>
              <w:szCs w:val="28"/>
            </w:rPr>
            <w:t xml:space="preserve"> </w:t>
          </w:r>
          <w:r>
            <w:rPr>
              <w:rStyle w:val="36"/>
              <w:rFonts w:hint="eastAsia"/>
              <w:sz w:val="28"/>
              <w:szCs w:val="28"/>
            </w:rPr>
            <w:t>合同通用条款</w:t>
          </w:r>
          <w:r>
            <w:rPr>
              <w:rStyle w:val="36"/>
              <w:sz w:val="28"/>
              <w:szCs w:val="28"/>
            </w:rPr>
            <w:tab/>
          </w:r>
          <w:r>
            <w:rPr>
              <w:rStyle w:val="36"/>
              <w:sz w:val="28"/>
              <w:szCs w:val="28"/>
            </w:rPr>
            <w:fldChar w:fldCharType="begin"/>
          </w:r>
          <w:r>
            <w:rPr>
              <w:rStyle w:val="36"/>
              <w:sz w:val="28"/>
              <w:szCs w:val="28"/>
            </w:rPr>
            <w:instrText xml:space="preserve"> PAGEREF _Toc87205268 \h </w:instrText>
          </w:r>
          <w:r>
            <w:rPr>
              <w:rStyle w:val="36"/>
              <w:sz w:val="28"/>
              <w:szCs w:val="28"/>
            </w:rPr>
            <w:fldChar w:fldCharType="separate"/>
          </w:r>
          <w:r>
            <w:rPr>
              <w:rStyle w:val="36"/>
              <w:sz w:val="28"/>
              <w:szCs w:val="28"/>
            </w:rPr>
            <w:t>- 22 -</w:t>
          </w:r>
          <w:r>
            <w:rPr>
              <w:rStyle w:val="36"/>
              <w:sz w:val="28"/>
              <w:szCs w:val="28"/>
            </w:rPr>
            <w:fldChar w:fldCharType="end"/>
          </w:r>
          <w:r>
            <w:rPr>
              <w:rStyle w:val="36"/>
              <w:sz w:val="28"/>
              <w:szCs w:val="28"/>
            </w:rPr>
            <w:fldChar w:fldCharType="end"/>
          </w:r>
        </w:p>
        <w:p>
          <w:pPr>
            <w:pStyle w:val="23"/>
            <w:spacing w:line="360" w:lineRule="auto"/>
            <w:rPr>
              <w:rStyle w:val="36"/>
              <w:sz w:val="28"/>
              <w:szCs w:val="28"/>
            </w:rPr>
          </w:pPr>
          <w:r>
            <w:fldChar w:fldCharType="begin"/>
          </w:r>
          <w:r>
            <w:instrText xml:space="preserve"> HYPERLINK \l "_Toc87205269" </w:instrText>
          </w:r>
          <w:r>
            <w:fldChar w:fldCharType="separate"/>
          </w:r>
          <w:r>
            <w:rPr>
              <w:rStyle w:val="36"/>
              <w:rFonts w:hint="eastAsia"/>
              <w:sz w:val="28"/>
              <w:szCs w:val="28"/>
            </w:rPr>
            <w:t>第五章</w:t>
          </w:r>
          <w:r>
            <w:rPr>
              <w:rStyle w:val="36"/>
              <w:sz w:val="28"/>
              <w:szCs w:val="28"/>
            </w:rPr>
            <w:t xml:space="preserve"> </w:t>
          </w:r>
          <w:r>
            <w:rPr>
              <w:rStyle w:val="36"/>
              <w:rFonts w:hint="eastAsia"/>
              <w:sz w:val="28"/>
              <w:szCs w:val="28"/>
            </w:rPr>
            <w:t>投标文件格式</w:t>
          </w:r>
          <w:r>
            <w:rPr>
              <w:rStyle w:val="36"/>
              <w:sz w:val="28"/>
              <w:szCs w:val="28"/>
            </w:rPr>
            <w:tab/>
          </w:r>
          <w:r>
            <w:rPr>
              <w:rStyle w:val="36"/>
              <w:sz w:val="28"/>
              <w:szCs w:val="28"/>
            </w:rPr>
            <w:fldChar w:fldCharType="begin"/>
          </w:r>
          <w:r>
            <w:rPr>
              <w:rStyle w:val="36"/>
              <w:sz w:val="28"/>
              <w:szCs w:val="28"/>
            </w:rPr>
            <w:instrText xml:space="preserve"> PAGEREF _Toc87205269 \h </w:instrText>
          </w:r>
          <w:r>
            <w:rPr>
              <w:rStyle w:val="36"/>
              <w:sz w:val="28"/>
              <w:szCs w:val="28"/>
            </w:rPr>
            <w:fldChar w:fldCharType="separate"/>
          </w:r>
          <w:r>
            <w:rPr>
              <w:rStyle w:val="36"/>
              <w:sz w:val="28"/>
              <w:szCs w:val="28"/>
            </w:rPr>
            <w:t>- 36 -</w:t>
          </w:r>
          <w:r>
            <w:rPr>
              <w:rStyle w:val="36"/>
              <w:sz w:val="28"/>
              <w:szCs w:val="28"/>
            </w:rPr>
            <w:fldChar w:fldCharType="end"/>
          </w:r>
          <w:r>
            <w:rPr>
              <w:rStyle w:val="36"/>
              <w:sz w:val="28"/>
              <w:szCs w:val="28"/>
            </w:rPr>
            <w:fldChar w:fldCharType="end"/>
          </w:r>
        </w:p>
        <w:p>
          <w:pPr>
            <w:pStyle w:val="23"/>
            <w:spacing w:line="360" w:lineRule="auto"/>
            <w:rPr>
              <w:rStyle w:val="36"/>
              <w:sz w:val="28"/>
              <w:szCs w:val="28"/>
            </w:rPr>
          </w:pPr>
          <w:r>
            <w:fldChar w:fldCharType="begin"/>
          </w:r>
          <w:r>
            <w:instrText xml:space="preserve"> HYPERLINK \l "_Toc87205270" </w:instrText>
          </w:r>
          <w:r>
            <w:fldChar w:fldCharType="separate"/>
          </w:r>
          <w:r>
            <w:rPr>
              <w:rStyle w:val="36"/>
              <w:rFonts w:hint="eastAsia"/>
              <w:sz w:val="28"/>
              <w:szCs w:val="28"/>
            </w:rPr>
            <w:t>第六章</w:t>
          </w:r>
          <w:r>
            <w:rPr>
              <w:rStyle w:val="36"/>
              <w:sz w:val="28"/>
              <w:szCs w:val="28"/>
            </w:rPr>
            <w:t xml:space="preserve"> </w:t>
          </w:r>
          <w:r>
            <w:rPr>
              <w:rStyle w:val="36"/>
              <w:rFonts w:hint="eastAsia"/>
              <w:sz w:val="28"/>
              <w:szCs w:val="28"/>
            </w:rPr>
            <w:t>资格审查与评分标准</w:t>
          </w:r>
          <w:r>
            <w:rPr>
              <w:rStyle w:val="36"/>
              <w:sz w:val="28"/>
              <w:szCs w:val="28"/>
            </w:rPr>
            <w:tab/>
          </w:r>
          <w:r>
            <w:rPr>
              <w:rStyle w:val="36"/>
              <w:sz w:val="28"/>
              <w:szCs w:val="28"/>
            </w:rPr>
            <w:t>-</w:t>
          </w:r>
          <w:r>
            <w:rPr>
              <w:rStyle w:val="36"/>
              <w:sz w:val="28"/>
              <w:szCs w:val="28"/>
            </w:rPr>
            <w:fldChar w:fldCharType="begin"/>
          </w:r>
          <w:r>
            <w:rPr>
              <w:rStyle w:val="36"/>
              <w:sz w:val="28"/>
              <w:szCs w:val="28"/>
            </w:rPr>
            <w:instrText xml:space="preserve"> PAGEREF _Toc87205270 \h </w:instrText>
          </w:r>
          <w:r>
            <w:rPr>
              <w:rStyle w:val="36"/>
              <w:sz w:val="28"/>
              <w:szCs w:val="28"/>
            </w:rPr>
            <w:fldChar w:fldCharType="separate"/>
          </w:r>
          <w:r>
            <w:rPr>
              <w:rStyle w:val="36"/>
              <w:sz w:val="28"/>
              <w:szCs w:val="28"/>
            </w:rPr>
            <w:t>54</w:t>
          </w:r>
          <w:r>
            <w:rPr>
              <w:rStyle w:val="36"/>
              <w:sz w:val="28"/>
              <w:szCs w:val="28"/>
            </w:rPr>
            <w:fldChar w:fldCharType="end"/>
          </w:r>
          <w:r>
            <w:rPr>
              <w:rStyle w:val="36"/>
              <w:sz w:val="28"/>
              <w:szCs w:val="28"/>
            </w:rPr>
            <w:fldChar w:fldCharType="end"/>
          </w:r>
          <w:r>
            <w:rPr>
              <w:rStyle w:val="36"/>
              <w:sz w:val="28"/>
              <w:szCs w:val="28"/>
            </w:rPr>
            <w:t>-</w:t>
          </w:r>
        </w:p>
        <w:p>
          <w:pPr>
            <w:pStyle w:val="23"/>
            <w:spacing w:line="360" w:lineRule="auto"/>
            <w:rPr>
              <w:rStyle w:val="36"/>
              <w:sz w:val="28"/>
              <w:szCs w:val="28"/>
            </w:rPr>
          </w:pPr>
          <w:r>
            <w:fldChar w:fldCharType="begin"/>
          </w:r>
          <w:r>
            <w:instrText xml:space="preserve"> HYPERLINK \l "_Toc87205271" </w:instrText>
          </w:r>
          <w:r>
            <w:fldChar w:fldCharType="separate"/>
          </w:r>
          <w:r>
            <w:rPr>
              <w:rStyle w:val="36"/>
              <w:rFonts w:hint="eastAsia"/>
              <w:sz w:val="28"/>
              <w:szCs w:val="28"/>
            </w:rPr>
            <w:t>第七章</w:t>
          </w:r>
          <w:r>
            <w:rPr>
              <w:rStyle w:val="36"/>
              <w:sz w:val="28"/>
              <w:szCs w:val="28"/>
            </w:rPr>
            <w:t xml:space="preserve"> </w:t>
          </w:r>
          <w:r>
            <w:rPr>
              <w:rStyle w:val="36"/>
              <w:rFonts w:hint="eastAsia"/>
              <w:sz w:val="28"/>
              <w:szCs w:val="28"/>
            </w:rPr>
            <w:t>采购需求一览表</w:t>
          </w:r>
          <w:r>
            <w:rPr>
              <w:rStyle w:val="36"/>
              <w:sz w:val="28"/>
              <w:szCs w:val="28"/>
            </w:rPr>
            <w:tab/>
          </w:r>
          <w:r>
            <w:rPr>
              <w:rStyle w:val="36"/>
              <w:sz w:val="28"/>
              <w:szCs w:val="28"/>
            </w:rPr>
            <w:t>-</w:t>
          </w:r>
          <w:r>
            <w:rPr>
              <w:rStyle w:val="36"/>
              <w:sz w:val="28"/>
              <w:szCs w:val="28"/>
            </w:rPr>
            <w:fldChar w:fldCharType="begin"/>
          </w:r>
          <w:r>
            <w:rPr>
              <w:rStyle w:val="36"/>
              <w:sz w:val="28"/>
              <w:szCs w:val="28"/>
            </w:rPr>
            <w:instrText xml:space="preserve"> PAGEREF _Toc87205271 \h </w:instrText>
          </w:r>
          <w:r>
            <w:rPr>
              <w:rStyle w:val="36"/>
              <w:sz w:val="28"/>
              <w:szCs w:val="28"/>
            </w:rPr>
            <w:fldChar w:fldCharType="separate"/>
          </w:r>
          <w:r>
            <w:rPr>
              <w:rStyle w:val="36"/>
              <w:sz w:val="28"/>
              <w:szCs w:val="28"/>
            </w:rPr>
            <w:t>59</w:t>
          </w:r>
          <w:r>
            <w:rPr>
              <w:rStyle w:val="36"/>
              <w:sz w:val="28"/>
              <w:szCs w:val="28"/>
            </w:rPr>
            <w:fldChar w:fldCharType="end"/>
          </w:r>
          <w:r>
            <w:rPr>
              <w:rStyle w:val="36"/>
              <w:sz w:val="28"/>
              <w:szCs w:val="28"/>
            </w:rPr>
            <w:fldChar w:fldCharType="end"/>
          </w:r>
          <w:r>
            <w:rPr>
              <w:rStyle w:val="36"/>
              <w:sz w:val="28"/>
              <w:szCs w:val="28"/>
            </w:rPr>
            <w:t>-</w:t>
          </w:r>
        </w:p>
        <w:p>
          <w:pPr>
            <w:pStyle w:val="23"/>
            <w:spacing w:line="360" w:lineRule="auto"/>
            <w:rPr>
              <w:rStyle w:val="36"/>
              <w:sz w:val="28"/>
              <w:szCs w:val="28"/>
            </w:rPr>
          </w:pPr>
          <w:r>
            <w:rPr>
              <w:rStyle w:val="36"/>
              <w:sz w:val="28"/>
              <w:szCs w:val="28"/>
            </w:rPr>
            <w:fldChar w:fldCharType="end"/>
          </w:r>
        </w:p>
      </w:sdtContent>
    </w:sdt>
    <w:p>
      <w:pPr>
        <w:pStyle w:val="3"/>
        <w:jc w:val="center"/>
      </w:pPr>
      <w:r>
        <w:rPr>
          <w:rFonts w:hint="eastAsia"/>
        </w:rPr>
        <w:br w:type="page"/>
      </w:r>
      <w:bookmarkEnd w:id="5"/>
      <w:bookmarkEnd w:id="6"/>
      <w:bookmarkStart w:id="7" w:name="_Toc87205230"/>
      <w:bookmarkStart w:id="8" w:name="_Toc30204"/>
      <w:r>
        <w:rPr>
          <w:rFonts w:hint="eastAsia"/>
        </w:rPr>
        <w:t>第一章 招标公告</w:t>
      </w:r>
      <w:bookmarkEnd w:id="7"/>
      <w:bookmarkEnd w:id="8"/>
    </w:p>
    <w:p>
      <w:pPr>
        <w:spacing w:line="360" w:lineRule="auto"/>
        <w:rPr>
          <w:rFonts w:ascii="仿宋" w:hAnsi="仿宋" w:eastAsia="仿宋" w:cs="仿宋"/>
          <w:sz w:val="24"/>
        </w:rPr>
      </w:pPr>
      <w:r>
        <w:rPr>
          <w:rFonts w:hint="eastAsia" w:ascii="仿宋" w:hAnsi="仿宋" w:eastAsia="仿宋" w:cs="仿宋"/>
          <w:sz w:val="24"/>
        </w:rPr>
        <w:t>项目概况</w:t>
      </w:r>
    </w:p>
    <w:p>
      <w:pPr>
        <w:spacing w:line="360" w:lineRule="auto"/>
        <w:rPr>
          <w:rFonts w:ascii="仿宋" w:hAnsi="仿宋" w:eastAsia="仿宋" w:cs="仿宋"/>
          <w:sz w:val="24"/>
        </w:rPr>
      </w:pPr>
      <w:r>
        <w:rPr>
          <w:rFonts w:hint="eastAsia" w:ascii="仿宋" w:hAnsi="仿宋" w:eastAsia="仿宋" w:cs="仿宋"/>
          <w:sz w:val="24"/>
        </w:rPr>
        <w:t xml:space="preserve">  招标项目的潜在投标人应在（</w:t>
      </w:r>
      <w:r>
        <w:rPr>
          <w:rFonts w:hint="eastAsia" w:ascii="仿宋" w:hAnsi="仿宋" w:eastAsia="仿宋" w:cs="仿宋"/>
          <w:sz w:val="24"/>
          <w:lang w:val="en-US" w:eastAsia="zh-CN"/>
        </w:rPr>
        <w:t>西藏康城肿瘤医院官网</w:t>
      </w:r>
      <w:r>
        <w:rPr>
          <w:rFonts w:hint="eastAsia" w:ascii="仿宋" w:hAnsi="仿宋" w:eastAsia="仿宋" w:cs="仿宋"/>
          <w:sz w:val="24"/>
        </w:rPr>
        <w:t>）</w:t>
      </w:r>
      <w:r>
        <w:rPr>
          <w:rFonts w:hint="eastAsia" w:ascii="仿宋" w:hAnsi="仿宋" w:eastAsia="仿宋" w:cs="仿宋"/>
          <w:sz w:val="24"/>
          <w:lang w:val="en-US" w:eastAsia="zh-CN"/>
        </w:rPr>
        <w:t>自行下载</w:t>
      </w:r>
      <w:r>
        <w:rPr>
          <w:rFonts w:hint="eastAsia" w:ascii="仿宋" w:hAnsi="仿宋" w:eastAsia="仿宋" w:cs="仿宋"/>
          <w:sz w:val="24"/>
        </w:rPr>
        <w:t>招标文件，于 2021年 1</w:t>
      </w:r>
      <w:r>
        <w:rPr>
          <w:rFonts w:hint="eastAsia" w:ascii="仿宋" w:hAnsi="仿宋" w:eastAsia="仿宋" w:cs="仿宋"/>
          <w:sz w:val="24"/>
          <w:lang w:val="en-US" w:eastAsia="zh-CN"/>
        </w:rPr>
        <w:t>2</w:t>
      </w:r>
      <w:r>
        <w:rPr>
          <w:rFonts w:hint="eastAsia" w:ascii="仿宋" w:hAnsi="仿宋" w:eastAsia="仿宋" w:cs="仿宋"/>
          <w:sz w:val="24"/>
        </w:rPr>
        <w:t xml:space="preserve"> 月</w:t>
      </w:r>
      <w:r>
        <w:rPr>
          <w:rFonts w:hint="eastAsia" w:ascii="仿宋" w:hAnsi="仿宋" w:eastAsia="仿宋" w:cs="仿宋"/>
          <w:sz w:val="24"/>
          <w:lang w:val="en-US" w:eastAsia="zh-CN"/>
        </w:rPr>
        <w:t>1</w:t>
      </w:r>
      <w:r>
        <w:rPr>
          <w:rFonts w:hint="eastAsia" w:ascii="仿宋" w:hAnsi="仿宋" w:eastAsia="仿宋" w:cs="仿宋"/>
          <w:sz w:val="24"/>
        </w:rPr>
        <w:t>日15点30分（北京时间）前递交投标文件。</w:t>
      </w:r>
      <w:bookmarkStart w:id="9" w:name="_Toc35393790"/>
      <w:bookmarkStart w:id="10" w:name="_Toc35393621"/>
      <w:bookmarkStart w:id="11" w:name="_Toc28359002"/>
      <w:bookmarkStart w:id="12" w:name="_Toc28359079"/>
      <w:bookmarkStart w:id="13" w:name="_Hlk24379207"/>
    </w:p>
    <w:p>
      <w:pPr>
        <w:spacing w:line="360" w:lineRule="auto"/>
        <w:rPr>
          <w:rFonts w:ascii="仿宋" w:hAnsi="仿宋" w:eastAsia="仿宋" w:cs="仿宋"/>
          <w:sz w:val="24"/>
        </w:rPr>
      </w:pPr>
      <w:r>
        <w:rPr>
          <w:rFonts w:hint="eastAsia" w:ascii="仿宋" w:hAnsi="仿宋" w:eastAsia="仿宋" w:cs="仿宋"/>
          <w:sz w:val="24"/>
        </w:rPr>
        <w:t>一、项目基本情况</w:t>
      </w:r>
      <w:bookmarkEnd w:id="9"/>
      <w:bookmarkEnd w:id="10"/>
      <w:bookmarkEnd w:id="11"/>
      <w:bookmarkEnd w:id="12"/>
    </w:p>
    <w:p>
      <w:pPr>
        <w:spacing w:line="360" w:lineRule="auto"/>
        <w:rPr>
          <w:rFonts w:hint="default" w:ascii="仿宋" w:hAnsi="仿宋" w:eastAsia="仿宋" w:cs="仿宋"/>
          <w:sz w:val="24"/>
          <w:lang w:val="en-US" w:eastAsia="zh-CN"/>
        </w:rPr>
      </w:pPr>
      <w:r>
        <w:rPr>
          <w:rFonts w:hint="eastAsia" w:ascii="仿宋" w:hAnsi="仿宋" w:eastAsia="仿宋" w:cs="仿宋"/>
          <w:sz w:val="24"/>
        </w:rPr>
        <w:t>项目编号：</w:t>
      </w:r>
      <w:r>
        <w:rPr>
          <w:rFonts w:hint="eastAsia" w:ascii="仿宋" w:hAnsi="仿宋" w:eastAsia="仿宋" w:cs="仿宋"/>
          <w:sz w:val="24"/>
          <w:lang w:val="en-US" w:eastAsia="zh-CN"/>
        </w:rPr>
        <w:t>XXKCZLYY210001</w:t>
      </w:r>
    </w:p>
    <w:p>
      <w:pPr>
        <w:spacing w:line="360" w:lineRule="auto"/>
        <w:rPr>
          <w:rFonts w:hint="eastAsia" w:ascii="仿宋" w:hAnsi="仿宋" w:eastAsia="仿宋" w:cs="仿宋"/>
          <w:sz w:val="24"/>
          <w:lang w:val="en-US" w:eastAsia="zh-CN"/>
        </w:rPr>
      </w:pPr>
      <w:r>
        <w:rPr>
          <w:rFonts w:hint="eastAsia" w:ascii="仿宋" w:hAnsi="仿宋" w:eastAsia="仿宋" w:cs="仿宋"/>
          <w:sz w:val="24"/>
        </w:rPr>
        <w:t>项目名称：</w:t>
      </w:r>
      <w:bookmarkEnd w:id="13"/>
      <w:r>
        <w:rPr>
          <w:rFonts w:hint="eastAsia" w:ascii="仿宋" w:hAnsi="仿宋" w:eastAsia="仿宋" w:cs="仿宋"/>
          <w:sz w:val="24"/>
          <w:lang w:val="en-US" w:eastAsia="zh-CN"/>
        </w:rPr>
        <w:t>西藏康城肿瘤医院药品采购项目</w:t>
      </w:r>
    </w:p>
    <w:p>
      <w:pPr>
        <w:spacing w:line="360" w:lineRule="auto"/>
        <w:rPr>
          <w:rFonts w:hint="default" w:ascii="仿宋" w:hAnsi="仿宋" w:eastAsia="仿宋" w:cs="仿宋"/>
          <w:sz w:val="24"/>
          <w:highlight w:val="yellow"/>
          <w:lang w:val="en-US"/>
        </w:rPr>
      </w:pPr>
      <w:r>
        <w:rPr>
          <w:rFonts w:hint="eastAsia" w:ascii="仿宋" w:hAnsi="仿宋" w:eastAsia="仿宋" w:cs="仿宋"/>
          <w:sz w:val="24"/>
          <w:lang w:val="en-US" w:eastAsia="zh-CN"/>
        </w:rPr>
        <w:t>招标类型</w:t>
      </w:r>
      <w:r>
        <w:rPr>
          <w:rFonts w:hint="eastAsia" w:ascii="仿宋" w:hAnsi="仿宋" w:eastAsia="仿宋" w:cs="仿宋"/>
          <w:sz w:val="24"/>
        </w:rPr>
        <w:t>：</w:t>
      </w:r>
      <w:r>
        <w:rPr>
          <w:rFonts w:hint="eastAsia" w:ascii="仿宋" w:hAnsi="仿宋" w:eastAsia="仿宋" w:cs="仿宋"/>
          <w:sz w:val="24"/>
          <w:lang w:val="en-US" w:eastAsia="zh-CN"/>
        </w:rPr>
        <w:t>单品价格招标(不得高于集采价和采购挂网价)</w:t>
      </w:r>
    </w:p>
    <w:p>
      <w:pPr>
        <w:spacing w:line="360" w:lineRule="auto"/>
        <w:rPr>
          <w:rFonts w:ascii="仿宋" w:hAnsi="仿宋" w:eastAsia="仿宋" w:cs="仿宋"/>
          <w:sz w:val="24"/>
        </w:rPr>
      </w:pPr>
      <w:r>
        <w:rPr>
          <w:rFonts w:hint="eastAsia" w:ascii="仿宋" w:hAnsi="仿宋" w:eastAsia="仿宋" w:cs="仿宋"/>
          <w:sz w:val="24"/>
        </w:rPr>
        <w:t>招标方式：公开招标</w:t>
      </w:r>
    </w:p>
    <w:p>
      <w:pPr>
        <w:spacing w:line="360" w:lineRule="auto"/>
        <w:rPr>
          <w:rFonts w:ascii="仿宋" w:hAnsi="仿宋" w:eastAsia="仿宋" w:cs="仿宋"/>
          <w:sz w:val="24"/>
          <w:highlight w:val="yellow"/>
        </w:rPr>
      </w:pPr>
      <w:r>
        <w:rPr>
          <w:rFonts w:hint="eastAsia" w:ascii="仿宋" w:hAnsi="仿宋" w:eastAsia="仿宋" w:cs="仿宋"/>
          <w:sz w:val="24"/>
        </w:rPr>
        <w:t>采购需求：</w:t>
      </w:r>
      <w:r>
        <w:rPr>
          <w:rFonts w:hint="eastAsia" w:ascii="仿宋" w:hAnsi="仿宋" w:eastAsia="仿宋" w:cs="仿宋"/>
          <w:sz w:val="24"/>
          <w:lang w:val="en-US" w:eastAsia="zh-CN"/>
        </w:rPr>
        <w:t>肿瘤常用药品（具体详见采购清单）</w:t>
      </w:r>
    </w:p>
    <w:p>
      <w:pPr>
        <w:spacing w:line="360" w:lineRule="auto"/>
        <w:rPr>
          <w:rFonts w:ascii="仿宋" w:hAnsi="仿宋" w:eastAsia="仿宋" w:cs="仿宋"/>
          <w:sz w:val="24"/>
        </w:rPr>
      </w:pPr>
      <w:r>
        <w:rPr>
          <w:rFonts w:hint="eastAsia" w:ascii="仿宋" w:hAnsi="仿宋" w:eastAsia="仿宋" w:cs="仿宋"/>
          <w:sz w:val="24"/>
        </w:rPr>
        <w:t>合同履约期限：详见招标文件</w:t>
      </w:r>
    </w:p>
    <w:p>
      <w:pPr>
        <w:spacing w:line="360" w:lineRule="auto"/>
        <w:rPr>
          <w:rFonts w:ascii="仿宋" w:hAnsi="仿宋" w:eastAsia="仿宋" w:cs="仿宋"/>
          <w:sz w:val="24"/>
        </w:rPr>
      </w:pPr>
      <w:bookmarkStart w:id="14" w:name="_Toc28359003"/>
      <w:bookmarkStart w:id="15" w:name="_Toc35393791"/>
      <w:bookmarkStart w:id="16" w:name="_Toc35393622"/>
      <w:bookmarkStart w:id="17" w:name="_Toc28359080"/>
      <w:r>
        <w:rPr>
          <w:rFonts w:hint="eastAsia" w:ascii="仿宋" w:hAnsi="仿宋" w:eastAsia="仿宋" w:cs="仿宋"/>
          <w:sz w:val="24"/>
        </w:rPr>
        <w:t>二、申请人的资格要求：</w:t>
      </w:r>
      <w:bookmarkEnd w:id="14"/>
      <w:bookmarkEnd w:id="15"/>
      <w:bookmarkEnd w:id="16"/>
      <w:bookmarkEnd w:id="17"/>
    </w:p>
    <w:p>
      <w:pPr>
        <w:autoSpaceDE w:val="0"/>
        <w:autoSpaceDN w:val="0"/>
        <w:snapToGrid w:val="0"/>
        <w:spacing w:line="360" w:lineRule="auto"/>
        <w:rPr>
          <w:rFonts w:ascii="仿宋" w:hAnsi="仿宋" w:eastAsia="仿宋" w:cs="仿宋"/>
          <w:sz w:val="24"/>
        </w:rPr>
      </w:pPr>
      <w:bookmarkStart w:id="18" w:name="_Toc35393792"/>
      <w:bookmarkStart w:id="19" w:name="_Toc35393623"/>
      <w:bookmarkStart w:id="20" w:name="_Toc28359081"/>
      <w:bookmarkStart w:id="21" w:name="_Toc28359004"/>
      <w:r>
        <w:rPr>
          <w:rFonts w:hint="eastAsia" w:ascii="仿宋" w:hAnsi="仿宋" w:eastAsia="仿宋" w:cs="仿宋"/>
          <w:sz w:val="24"/>
        </w:rPr>
        <w:t>1.投标人须符合《政府采购法》第二十二条的相关规定：</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1)具有独立承担民事责任的能力(提供法人或者其他组织的营业执照等证明文件,自然人的身份证明)；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2)具有良好的商业信誉和健全的财务会计制度（提供2018年-2020年度财务报表；投标人为2020年1月1日以后成立的，可提供近期的月或季度财务报表复印件）；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3)有依法缴纳税收和社会保障资金的良好记录（提供近半年至今任意一个月缴纳税收和社会保险的凭证复印件。如依法免税或不需要缴纳社会保障资金的，应提供相应文件证明复印件)；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2.拟参加本项目的潜在供应商须具备有效的营业执照，且经营范围包含本次采购内容。</w:t>
      </w:r>
    </w:p>
    <w:p>
      <w:pPr>
        <w:spacing w:line="360" w:lineRule="auto"/>
        <w:rPr>
          <w:rFonts w:ascii="仿宋" w:hAnsi="仿宋" w:eastAsia="仿宋" w:cs="仿宋"/>
          <w:sz w:val="24"/>
        </w:rPr>
      </w:pPr>
      <w:r>
        <w:rPr>
          <w:rFonts w:hint="eastAsia" w:ascii="仿宋" w:hAnsi="仿宋" w:eastAsia="仿宋" w:cs="仿宋"/>
          <w:sz w:val="24"/>
        </w:rPr>
        <w:t>三、获取招标文件</w:t>
      </w:r>
      <w:bookmarkEnd w:id="18"/>
      <w:bookmarkEnd w:id="19"/>
      <w:bookmarkEnd w:id="20"/>
      <w:bookmarkEnd w:id="21"/>
    </w:p>
    <w:p>
      <w:pPr>
        <w:spacing w:line="360" w:lineRule="auto"/>
        <w:rPr>
          <w:rFonts w:hint="eastAsia" w:ascii="仿宋" w:hAnsi="仿宋" w:eastAsia="仿宋" w:cs="仿宋"/>
          <w:sz w:val="24"/>
          <w:lang w:eastAsia="zh-CN"/>
        </w:rPr>
      </w:pPr>
      <w:r>
        <w:rPr>
          <w:rFonts w:hint="eastAsia" w:ascii="仿宋" w:hAnsi="仿宋" w:eastAsia="仿宋" w:cs="仿宋"/>
          <w:sz w:val="24"/>
        </w:rPr>
        <w:t>时间：2021年11月</w:t>
      </w:r>
      <w:r>
        <w:rPr>
          <w:rFonts w:hint="eastAsia" w:ascii="仿宋" w:hAnsi="仿宋" w:eastAsia="仿宋" w:cs="仿宋"/>
          <w:sz w:val="24"/>
          <w:lang w:val="en-US" w:eastAsia="zh-CN"/>
        </w:rPr>
        <w:t>22</w:t>
      </w:r>
      <w:r>
        <w:rPr>
          <w:rFonts w:hint="eastAsia" w:ascii="仿宋" w:hAnsi="仿宋" w:eastAsia="仿宋" w:cs="仿宋"/>
          <w:sz w:val="24"/>
        </w:rPr>
        <w:t>日至2021年</w:t>
      </w:r>
      <w:r>
        <w:rPr>
          <w:rFonts w:hint="eastAsia" w:ascii="仿宋" w:hAnsi="仿宋" w:eastAsia="仿宋" w:cs="仿宋"/>
          <w:sz w:val="24"/>
          <w:lang w:val="en-US" w:eastAsia="zh-CN"/>
        </w:rPr>
        <w:t>11</w:t>
      </w:r>
      <w:r>
        <w:rPr>
          <w:rFonts w:hint="eastAsia" w:ascii="仿宋" w:hAnsi="仿宋" w:eastAsia="仿宋" w:cs="仿宋"/>
          <w:sz w:val="24"/>
        </w:rPr>
        <w:t>月</w:t>
      </w:r>
      <w:r>
        <w:rPr>
          <w:rFonts w:hint="eastAsia" w:ascii="仿宋" w:hAnsi="仿宋" w:eastAsia="仿宋" w:cs="仿宋"/>
          <w:sz w:val="24"/>
          <w:lang w:val="en-US" w:eastAsia="zh-CN"/>
        </w:rPr>
        <w:t>30</w:t>
      </w:r>
      <w:r>
        <w:rPr>
          <w:rFonts w:hint="eastAsia" w:ascii="仿宋" w:hAnsi="仿宋" w:eastAsia="仿宋" w:cs="仿宋"/>
          <w:sz w:val="24"/>
        </w:rPr>
        <w:t>日</w:t>
      </w:r>
      <w:r>
        <w:rPr>
          <w:rFonts w:hint="eastAsia" w:ascii="仿宋" w:hAnsi="仿宋" w:eastAsia="仿宋" w:cs="仿宋"/>
          <w:sz w:val="24"/>
          <w:lang w:eastAsia="zh-CN"/>
        </w:rPr>
        <w:t>。</w:t>
      </w:r>
    </w:p>
    <w:p>
      <w:pPr>
        <w:spacing w:line="360" w:lineRule="auto"/>
        <w:rPr>
          <w:rFonts w:ascii="仿宋" w:hAnsi="仿宋" w:eastAsia="仿宋" w:cs="仿宋"/>
          <w:sz w:val="24"/>
        </w:rPr>
      </w:pPr>
      <w:r>
        <w:rPr>
          <w:rFonts w:hint="eastAsia" w:ascii="仿宋" w:hAnsi="仿宋" w:eastAsia="仿宋" w:cs="仿宋"/>
          <w:sz w:val="24"/>
        </w:rPr>
        <w:t>地点：</w:t>
      </w:r>
      <w:r>
        <w:rPr>
          <w:rFonts w:hint="eastAsia" w:ascii="仿宋" w:hAnsi="仿宋" w:eastAsia="仿宋" w:cs="仿宋"/>
          <w:sz w:val="24"/>
          <w:lang w:val="en-US" w:eastAsia="zh-CN"/>
        </w:rPr>
        <w:t>西藏康城肿瘤医院官网自行下载</w:t>
      </w:r>
      <w:r>
        <w:rPr>
          <w:rFonts w:hint="eastAsia" w:ascii="仿宋" w:hAnsi="仿宋" w:eastAsia="仿宋" w:cs="仿宋"/>
          <w:sz w:val="24"/>
        </w:rPr>
        <w:t>（</w:t>
      </w:r>
      <w:r>
        <w:rPr>
          <w:rFonts w:hint="eastAsia" w:ascii="仿宋" w:hAnsi="仿宋" w:eastAsia="仿宋" w:cs="仿宋"/>
          <w:sz w:val="24"/>
          <w:lang w:val="en-US" w:eastAsia="zh-CN"/>
        </w:rPr>
        <w:t>西藏康城肿瘤医院官网采买信息</w:t>
      </w:r>
      <w:r>
        <w:rPr>
          <w:rFonts w:hint="eastAsia" w:ascii="仿宋" w:hAnsi="仿宋" w:eastAsia="仿宋" w:cs="仿宋"/>
          <w:sz w:val="24"/>
        </w:rPr>
        <w:t>）</w:t>
      </w:r>
    </w:p>
    <w:p>
      <w:pPr>
        <w:spacing w:line="360" w:lineRule="auto"/>
        <w:rPr>
          <w:rFonts w:ascii="仿宋" w:hAnsi="仿宋" w:eastAsia="仿宋" w:cs="仿宋"/>
          <w:sz w:val="24"/>
        </w:rPr>
      </w:pPr>
      <w:bookmarkStart w:id="22" w:name="_Toc28359082"/>
      <w:bookmarkStart w:id="23" w:name="_Toc28359005"/>
      <w:bookmarkStart w:id="24" w:name="_Toc35393624"/>
      <w:bookmarkStart w:id="25" w:name="_Toc35393793"/>
      <w:r>
        <w:rPr>
          <w:rFonts w:hint="eastAsia" w:ascii="仿宋" w:hAnsi="仿宋" w:eastAsia="仿宋" w:cs="仿宋"/>
          <w:sz w:val="24"/>
        </w:rPr>
        <w:t>四、提交投标文件</w:t>
      </w:r>
      <w:bookmarkEnd w:id="22"/>
      <w:bookmarkEnd w:id="23"/>
      <w:r>
        <w:rPr>
          <w:rFonts w:hint="eastAsia" w:ascii="仿宋" w:hAnsi="仿宋" w:eastAsia="仿宋" w:cs="仿宋"/>
          <w:sz w:val="24"/>
        </w:rPr>
        <w:t>截止时间、开标时间和地点</w:t>
      </w:r>
      <w:bookmarkEnd w:id="24"/>
      <w:bookmarkEnd w:id="25"/>
    </w:p>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于2021年 12月 1日15点30分（北京时</w:t>
      </w:r>
      <w:bookmarkStart w:id="176" w:name="_GoBack"/>
      <w:bookmarkEnd w:id="176"/>
      <w:r>
        <w:rPr>
          <w:rFonts w:hint="eastAsia" w:ascii="仿宋" w:hAnsi="仿宋" w:eastAsia="仿宋" w:cs="仿宋"/>
          <w:sz w:val="24"/>
          <w:lang w:val="en-US" w:eastAsia="zh-CN"/>
        </w:rPr>
        <w:t>间）前递交投标文件。</w:t>
      </w:r>
    </w:p>
    <w:p>
      <w:pPr>
        <w:spacing w:line="360" w:lineRule="auto"/>
        <w:rPr>
          <w:rFonts w:ascii="仿宋" w:hAnsi="仿宋" w:eastAsia="仿宋" w:cs="仿宋"/>
          <w:sz w:val="24"/>
        </w:rPr>
      </w:pPr>
      <w:r>
        <w:rPr>
          <w:rFonts w:hint="eastAsia" w:ascii="仿宋" w:hAnsi="仿宋" w:eastAsia="仿宋" w:cs="仿宋"/>
          <w:sz w:val="24"/>
          <w:lang w:val="en-US" w:eastAsia="zh-CN"/>
        </w:rPr>
        <w:t>地点：西藏康城肿瘤医院行政楼一楼会议室（拉萨市城关区教育城勤学路1号）</w:t>
      </w:r>
    </w:p>
    <w:p>
      <w:pPr>
        <w:spacing w:line="360" w:lineRule="auto"/>
        <w:rPr>
          <w:rFonts w:ascii="仿宋" w:hAnsi="仿宋" w:eastAsia="仿宋" w:cs="仿宋"/>
          <w:sz w:val="24"/>
        </w:rPr>
      </w:pPr>
      <w:bookmarkStart w:id="26" w:name="_Toc35393626"/>
      <w:bookmarkStart w:id="27" w:name="_Toc35393795"/>
    </w:p>
    <w:p>
      <w:pPr>
        <w:spacing w:line="360" w:lineRule="auto"/>
        <w:rPr>
          <w:rFonts w:ascii="仿宋" w:hAnsi="仿宋" w:eastAsia="仿宋" w:cs="仿宋"/>
          <w:sz w:val="24"/>
        </w:rPr>
      </w:pPr>
      <w:r>
        <w:rPr>
          <w:rFonts w:hint="eastAsia" w:ascii="仿宋" w:hAnsi="仿宋" w:eastAsia="仿宋" w:cs="仿宋"/>
          <w:sz w:val="24"/>
          <w:lang w:val="en-US" w:eastAsia="zh-CN"/>
        </w:rPr>
        <w:t>五</w:t>
      </w:r>
      <w:r>
        <w:rPr>
          <w:rFonts w:hint="eastAsia" w:ascii="仿宋" w:hAnsi="仿宋" w:eastAsia="仿宋" w:cs="仿宋"/>
          <w:sz w:val="24"/>
        </w:rPr>
        <w:t>、其他补充事宜</w:t>
      </w:r>
      <w:bookmarkEnd w:id="26"/>
      <w:bookmarkEnd w:id="27"/>
    </w:p>
    <w:p>
      <w:pPr>
        <w:spacing w:line="360" w:lineRule="auto"/>
        <w:rPr>
          <w:rFonts w:ascii="仿宋" w:hAnsi="仿宋" w:eastAsia="仿宋" w:cs="仿宋"/>
          <w:sz w:val="24"/>
        </w:rPr>
      </w:pPr>
      <w:bookmarkStart w:id="28" w:name="_Toc35393796"/>
      <w:bookmarkStart w:id="29" w:name="_Toc28359008"/>
      <w:bookmarkStart w:id="30" w:name="_Toc28359085"/>
      <w:bookmarkStart w:id="31" w:name="_Toc35393627"/>
      <w:r>
        <w:rPr>
          <w:rFonts w:hint="eastAsia" w:ascii="仿宋" w:hAnsi="仿宋" w:eastAsia="仿宋" w:cs="仿宋"/>
          <w:sz w:val="24"/>
        </w:rPr>
        <w:t>1.落实政府采购政策需满足的资格要求：</w:t>
      </w:r>
    </w:p>
    <w:p>
      <w:pPr>
        <w:spacing w:line="360" w:lineRule="auto"/>
        <w:rPr>
          <w:rFonts w:ascii="仿宋" w:hAnsi="仿宋" w:eastAsia="仿宋" w:cs="仿宋"/>
          <w:sz w:val="24"/>
        </w:rPr>
      </w:pPr>
      <w:r>
        <w:rPr>
          <w:rFonts w:hint="eastAsia" w:ascii="仿宋" w:hAnsi="仿宋" w:eastAsia="仿宋" w:cs="仿宋"/>
          <w:sz w:val="24"/>
        </w:rPr>
        <w:t>1）执行《中华人民共和国政府采购法》、《中华人民共和国政府采购法实施条例》等有关法律、法规和和政策</w:t>
      </w:r>
      <w:r>
        <w:rPr>
          <w:rFonts w:hint="eastAsia" w:ascii="仿宋" w:hAnsi="仿宋" w:eastAsia="仿宋" w:cs="仿宋"/>
          <w:sz w:val="24"/>
          <w:lang w:eastAsia="zh-CN"/>
        </w:rPr>
        <w:t>。</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2）执行《政府采购促进中小企业发展暂行办法》、《关于政府采购支持监狱企业发展有关问题的通知》和《关于促进残疾人就业政府采购政策的通知》</w:t>
      </w:r>
      <w:r>
        <w:rPr>
          <w:rFonts w:hint="eastAsia" w:ascii="仿宋" w:hAnsi="仿宋" w:eastAsia="仿宋" w:cs="仿宋"/>
          <w:sz w:val="24"/>
          <w:lang w:eastAsia="zh-CN"/>
        </w:rPr>
        <w:t>。</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.单位负责人为同一人或者存在直接控股、管理关系的不同供应商，不得同时参加本采购项目投标。</w:t>
      </w:r>
    </w:p>
    <w:p>
      <w:pPr>
        <w:pStyle w:val="2"/>
      </w:pPr>
    </w:p>
    <w:p>
      <w:pPr>
        <w:spacing w:line="360" w:lineRule="auto"/>
        <w:rPr>
          <w:rFonts w:ascii="仿宋" w:hAnsi="仿宋" w:eastAsia="仿宋" w:cs="仿宋"/>
          <w:sz w:val="24"/>
        </w:rPr>
      </w:pPr>
      <w:r>
        <w:rPr>
          <w:rFonts w:hint="eastAsia" w:ascii="仿宋" w:hAnsi="仿宋" w:eastAsia="仿宋" w:cs="仿宋"/>
          <w:sz w:val="24"/>
          <w:lang w:val="en-US" w:eastAsia="zh-CN"/>
        </w:rPr>
        <w:t>六</w:t>
      </w:r>
      <w:r>
        <w:rPr>
          <w:rFonts w:hint="eastAsia" w:ascii="仿宋" w:hAnsi="仿宋" w:eastAsia="仿宋" w:cs="仿宋"/>
          <w:sz w:val="24"/>
        </w:rPr>
        <w:t>、对本次招标提出询问，请按以下方式联系。</w:t>
      </w:r>
      <w:bookmarkEnd w:id="28"/>
      <w:bookmarkEnd w:id="29"/>
      <w:bookmarkEnd w:id="30"/>
      <w:bookmarkEnd w:id="31"/>
    </w:p>
    <w:p>
      <w:pPr>
        <w:spacing w:line="360" w:lineRule="auto"/>
        <w:rPr>
          <w:rFonts w:ascii="仿宋" w:hAnsi="仿宋" w:eastAsia="仿宋" w:cs="仿宋"/>
          <w:sz w:val="24"/>
        </w:rPr>
      </w:pPr>
      <w:r>
        <w:rPr>
          <w:rFonts w:hint="eastAsia" w:ascii="仿宋" w:hAnsi="仿宋" w:eastAsia="仿宋" w:cs="仿宋"/>
          <w:sz w:val="24"/>
        </w:rPr>
        <w:t>1.采购人信息</w:t>
      </w:r>
    </w:p>
    <w:p>
      <w:pPr>
        <w:spacing w:line="360" w:lineRule="auto"/>
        <w:rPr>
          <w:rFonts w:hint="eastAsia" w:ascii="仿宋" w:hAnsi="仿宋" w:eastAsia="仿宋" w:cs="仿宋"/>
          <w:sz w:val="24"/>
          <w:lang w:val="en-US" w:eastAsia="zh-CN"/>
        </w:rPr>
      </w:pPr>
      <w:r>
        <w:rPr>
          <w:rFonts w:hint="eastAsia" w:ascii="仿宋" w:hAnsi="仿宋" w:eastAsia="仿宋" w:cs="仿宋"/>
          <w:sz w:val="24"/>
        </w:rPr>
        <w:t>名    称：</w:t>
      </w:r>
      <w:r>
        <w:rPr>
          <w:rFonts w:hint="eastAsia" w:ascii="仿宋" w:hAnsi="仿宋" w:eastAsia="仿宋" w:cs="仿宋"/>
          <w:sz w:val="24"/>
          <w:lang w:val="en-US" w:eastAsia="zh-CN"/>
        </w:rPr>
        <w:t>西藏康城医疗管理有限公司</w:t>
      </w:r>
    </w:p>
    <w:p>
      <w:pPr>
        <w:spacing w:line="360" w:lineRule="auto"/>
        <w:rPr>
          <w:rFonts w:ascii="仿宋" w:hAnsi="仿宋" w:eastAsia="仿宋" w:cs="仿宋"/>
          <w:sz w:val="24"/>
        </w:rPr>
      </w:pPr>
      <w:r>
        <w:rPr>
          <w:rFonts w:hint="eastAsia" w:ascii="仿宋" w:hAnsi="仿宋" w:eastAsia="仿宋" w:cs="仿宋"/>
          <w:sz w:val="24"/>
        </w:rPr>
        <w:t>地    址：拉萨市</w:t>
      </w:r>
      <w:r>
        <w:rPr>
          <w:rFonts w:hint="eastAsia" w:ascii="仿宋" w:hAnsi="仿宋" w:eastAsia="仿宋" w:cs="仿宋"/>
          <w:sz w:val="24"/>
          <w:lang w:val="en-US" w:eastAsia="zh-CN"/>
        </w:rPr>
        <w:t>教育城勤学路1号</w:t>
      </w:r>
    </w:p>
    <w:p>
      <w:pPr>
        <w:autoSpaceDE w:val="0"/>
        <w:autoSpaceDN w:val="0"/>
        <w:snapToGrid w:val="0"/>
        <w:spacing w:line="360" w:lineRule="auto"/>
        <w:rPr>
          <w:rFonts w:hint="eastAsia" w:ascii="仿宋" w:hAnsi="仿宋" w:eastAsia="仿宋" w:cs="仿宋"/>
          <w:sz w:val="24"/>
          <w:lang w:val="en-US" w:eastAsia="zh-CN"/>
        </w:rPr>
      </w:pPr>
      <w:r>
        <w:rPr>
          <w:rFonts w:hint="eastAsia" w:ascii="仿宋" w:hAnsi="仿宋" w:eastAsia="仿宋" w:cs="仿宋"/>
          <w:sz w:val="24"/>
        </w:rPr>
        <w:t>联   系   人：</w:t>
      </w:r>
      <w:r>
        <w:rPr>
          <w:rFonts w:hint="eastAsia" w:ascii="仿宋" w:hAnsi="仿宋" w:eastAsia="仿宋" w:cs="仿宋"/>
          <w:sz w:val="24"/>
          <w:lang w:val="en-US" w:eastAsia="zh-CN"/>
        </w:rPr>
        <w:t>达旦</w:t>
      </w:r>
    </w:p>
    <w:p>
      <w:pPr>
        <w:autoSpaceDE w:val="0"/>
        <w:autoSpaceDN w:val="0"/>
        <w:snapToGrid w:val="0"/>
        <w:spacing w:line="360" w:lineRule="auto"/>
        <w:rPr>
          <w:rFonts w:hint="default" w:ascii="仿宋" w:hAnsi="仿宋" w:eastAsia="仿宋" w:cs="仿宋"/>
          <w:sz w:val="24"/>
          <w:lang w:val="en-US" w:eastAsia="zh-CN"/>
        </w:rPr>
      </w:pPr>
      <w:r>
        <w:rPr>
          <w:rFonts w:hint="eastAsia" w:ascii="仿宋" w:hAnsi="仿宋" w:eastAsia="仿宋" w:cs="仿宋"/>
          <w:sz w:val="24"/>
        </w:rPr>
        <w:t>联 系  方 式：</w:t>
      </w:r>
      <w:r>
        <w:rPr>
          <w:rFonts w:hint="eastAsia" w:ascii="仿宋" w:hAnsi="仿宋" w:eastAsia="仿宋" w:cs="仿宋"/>
          <w:sz w:val="24"/>
          <w:lang w:val="en-US" w:eastAsia="zh-CN"/>
        </w:rPr>
        <w:t>18108900939</w:t>
      </w:r>
    </w:p>
    <w:p>
      <w:pPr>
        <w:pStyle w:val="3"/>
        <w:jc w:val="center"/>
      </w:pPr>
    </w:p>
    <w:p/>
    <w:p>
      <w:pPr>
        <w:pStyle w:val="2"/>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jc w:val="center"/>
      </w:pPr>
      <w:r>
        <w:rPr>
          <w:rFonts w:hint="eastAsia"/>
        </w:rPr>
        <w:t>第二章 投标人须知前附</w:t>
      </w:r>
      <w:bookmarkEnd w:id="0"/>
      <w:bookmarkEnd w:id="1"/>
      <w:bookmarkEnd w:id="2"/>
      <w:r>
        <w:rPr>
          <w:rFonts w:hint="eastAsia"/>
        </w:rPr>
        <w:t>表</w:t>
      </w:r>
      <w:bookmarkEnd w:id="3"/>
      <w:bookmarkEnd w:id="4"/>
    </w:p>
    <w:tbl>
      <w:tblPr>
        <w:tblStyle w:val="30"/>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28" w:type="dxa"/>
          <w:bottom w:w="0" w:type="dxa"/>
          <w:right w:w="28" w:type="dxa"/>
        </w:tblCellMar>
      </w:tblPr>
      <w:tblGrid>
        <w:gridCol w:w="1193"/>
        <w:gridCol w:w="783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806" w:hRule="atLeast"/>
          <w:jc w:val="center"/>
        </w:trPr>
        <w:tc>
          <w:tcPr>
            <w:tcW w:w="1193" w:type="dxa"/>
            <w:vAlign w:val="center"/>
          </w:tcPr>
          <w:p>
            <w:pPr>
              <w:keepLines/>
              <w:spacing w:line="360" w:lineRule="auto"/>
              <w:jc w:val="center"/>
              <w:rPr>
                <w:rFonts w:ascii="仿宋" w:hAnsi="仿宋" w:eastAsia="仿宋" w:cs="仿宋"/>
                <w:sz w:val="24"/>
              </w:rPr>
            </w:pPr>
            <w:r>
              <w:rPr>
                <w:rFonts w:hint="eastAsia" w:ascii="仿宋" w:hAnsi="仿宋" w:eastAsia="仿宋" w:cs="仿宋"/>
                <w:sz w:val="24"/>
              </w:rPr>
              <w:t>条款号</w:t>
            </w:r>
          </w:p>
        </w:tc>
        <w:tc>
          <w:tcPr>
            <w:tcW w:w="7837" w:type="dxa"/>
            <w:vAlign w:val="center"/>
          </w:tcPr>
          <w:p>
            <w:pPr>
              <w:keepLines/>
              <w:spacing w:line="360" w:lineRule="auto"/>
              <w:ind w:firstLine="2400" w:firstLineChars="1000"/>
              <w:rPr>
                <w:rFonts w:ascii="仿宋" w:hAnsi="仿宋" w:eastAsia="仿宋" w:cs="仿宋"/>
                <w:b/>
                <w:sz w:val="24"/>
              </w:rPr>
            </w:pPr>
            <w:r>
              <w:rPr>
                <w:rFonts w:hint="eastAsia" w:ascii="仿宋" w:hAnsi="仿宋" w:eastAsia="仿宋" w:cs="仿宋"/>
                <w:b/>
                <w:sz w:val="24"/>
              </w:rPr>
              <w:t>内      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806" w:hRule="atLeast"/>
          <w:jc w:val="center"/>
        </w:trPr>
        <w:tc>
          <w:tcPr>
            <w:tcW w:w="9030" w:type="dxa"/>
            <w:gridSpan w:val="2"/>
            <w:vAlign w:val="center"/>
          </w:tcPr>
          <w:p>
            <w:pPr>
              <w:keepLines/>
              <w:spacing w:line="360" w:lineRule="auto"/>
              <w:jc w:val="center"/>
              <w:rPr>
                <w:rFonts w:ascii="仿宋" w:hAnsi="仿宋" w:eastAsia="仿宋" w:cs="仿宋"/>
                <w:b/>
                <w:sz w:val="24"/>
              </w:rPr>
            </w:pPr>
            <w:r>
              <w:rPr>
                <w:rFonts w:hint="eastAsia" w:ascii="仿宋" w:hAnsi="仿宋" w:eastAsia="仿宋" w:cs="仿宋"/>
                <w:b/>
                <w:sz w:val="24"/>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730" w:hRule="atLeast"/>
          <w:jc w:val="center"/>
        </w:trPr>
        <w:tc>
          <w:tcPr>
            <w:tcW w:w="1193" w:type="dxa"/>
            <w:tcBorders>
              <w:right w:val="single" w:color="auto" w:sz="4" w:space="0"/>
            </w:tcBorders>
            <w:vAlign w:val="center"/>
          </w:tcPr>
          <w:p>
            <w:pPr>
              <w:keepLines/>
              <w:spacing w:line="360" w:lineRule="auto"/>
              <w:jc w:val="center"/>
              <w:rPr>
                <w:rFonts w:ascii="仿宋" w:hAnsi="仿宋" w:eastAsia="仿宋" w:cs="仿宋"/>
                <w:sz w:val="24"/>
              </w:rPr>
            </w:pPr>
            <w:r>
              <w:rPr>
                <w:rFonts w:hint="eastAsia" w:ascii="仿宋" w:hAnsi="仿宋" w:eastAsia="仿宋" w:cs="仿宋"/>
                <w:sz w:val="24"/>
              </w:rPr>
              <w:t>1.1</w:t>
            </w:r>
          </w:p>
        </w:tc>
        <w:tc>
          <w:tcPr>
            <w:tcW w:w="7837" w:type="dxa"/>
            <w:tcBorders>
              <w:left w:val="single" w:color="auto" w:sz="4" w:space="0"/>
            </w:tcBorders>
            <w:vAlign w:val="center"/>
          </w:tcPr>
          <w:p>
            <w:pPr>
              <w:keepLines/>
              <w:spacing w:line="360" w:lineRule="exact"/>
              <w:rPr>
                <w:rFonts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lang w:val="en-US" w:eastAsia="zh-CN"/>
              </w:rPr>
              <w:t>西藏康城肿瘤医院药品</w:t>
            </w:r>
            <w:r>
              <w:rPr>
                <w:rFonts w:hint="eastAsia" w:ascii="仿宋" w:hAnsi="仿宋" w:eastAsia="仿宋" w:cs="仿宋"/>
                <w:sz w:val="24"/>
              </w:rPr>
              <w:t>采购项目</w:t>
            </w:r>
          </w:p>
          <w:p>
            <w:pPr>
              <w:keepLines/>
              <w:spacing w:line="360" w:lineRule="exact"/>
              <w:rPr>
                <w:rFonts w:hint="default" w:ascii="仿宋" w:hAnsi="仿宋" w:eastAsia="仿宋" w:cs="仿宋"/>
                <w:sz w:val="24"/>
                <w:lang w:val="en-US"/>
              </w:rPr>
            </w:pPr>
            <w:r>
              <w:rPr>
                <w:rFonts w:hint="eastAsia" w:ascii="仿宋" w:hAnsi="仿宋" w:eastAsia="仿宋" w:cs="仿宋"/>
                <w:sz w:val="24"/>
              </w:rPr>
              <w:t>项目编号：</w:t>
            </w:r>
            <w:r>
              <w:rPr>
                <w:rFonts w:hint="eastAsia" w:ascii="仿宋" w:hAnsi="仿宋" w:eastAsia="仿宋" w:cs="仿宋"/>
                <w:sz w:val="24"/>
                <w:lang w:val="en-US" w:eastAsia="zh-CN"/>
              </w:rPr>
              <w:t>XXKCZLYY210001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1193" w:type="dxa"/>
            <w:tcBorders>
              <w:right w:val="single" w:color="auto" w:sz="4" w:space="0"/>
            </w:tcBorders>
            <w:vAlign w:val="center"/>
          </w:tcPr>
          <w:p>
            <w:pPr>
              <w:keepLines/>
              <w:spacing w:line="360" w:lineRule="auto"/>
              <w:jc w:val="center"/>
              <w:rPr>
                <w:rFonts w:ascii="仿宋" w:hAnsi="仿宋" w:eastAsia="仿宋" w:cs="仿宋"/>
                <w:sz w:val="24"/>
              </w:rPr>
            </w:pPr>
            <w:r>
              <w:rPr>
                <w:rFonts w:hint="eastAsia" w:ascii="仿宋" w:hAnsi="仿宋" w:eastAsia="仿宋" w:cs="仿宋"/>
                <w:sz w:val="24"/>
              </w:rPr>
              <w:t>1.2</w:t>
            </w:r>
          </w:p>
        </w:tc>
        <w:tc>
          <w:tcPr>
            <w:tcW w:w="7837" w:type="dxa"/>
            <w:tcBorders>
              <w:lef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项目标段：一个标段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16" w:hRule="atLeast"/>
          <w:jc w:val="center"/>
        </w:trPr>
        <w:tc>
          <w:tcPr>
            <w:tcW w:w="1193" w:type="dxa"/>
            <w:tcBorders>
              <w:right w:val="single" w:color="auto" w:sz="4" w:space="0"/>
            </w:tcBorders>
            <w:vAlign w:val="center"/>
          </w:tcPr>
          <w:p>
            <w:pPr>
              <w:keepLines/>
              <w:spacing w:line="360" w:lineRule="auto"/>
              <w:jc w:val="center"/>
              <w:rPr>
                <w:rFonts w:ascii="仿宋" w:hAnsi="仿宋" w:eastAsia="仿宋" w:cs="仿宋"/>
                <w:sz w:val="24"/>
              </w:rPr>
            </w:pPr>
            <w:r>
              <w:rPr>
                <w:rFonts w:hint="eastAsia" w:ascii="仿宋" w:hAnsi="仿宋" w:eastAsia="仿宋" w:cs="仿宋"/>
                <w:sz w:val="24"/>
              </w:rPr>
              <w:t>1.3</w:t>
            </w:r>
          </w:p>
        </w:tc>
        <w:tc>
          <w:tcPr>
            <w:tcW w:w="7837" w:type="dxa"/>
            <w:tcBorders>
              <w:left w:val="single" w:color="auto" w:sz="4" w:space="0"/>
            </w:tcBorders>
            <w:vAlign w:val="center"/>
          </w:tcPr>
          <w:p>
            <w:pPr>
              <w:spacing w:line="360" w:lineRule="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采 购 人：西藏康城医疗管理有限公司</w:t>
            </w:r>
          </w:p>
          <w:p>
            <w:pPr>
              <w:spacing w:line="360" w:lineRule="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地    址：拉萨市教育城勤学路1号</w:t>
            </w:r>
          </w:p>
          <w:p>
            <w:pPr>
              <w:keepLines/>
              <w:spacing w:line="360" w:lineRule="exact"/>
              <w:rPr>
                <w:rFonts w:hint="eastAsia" w:ascii="仿宋" w:hAnsi="仿宋" w:eastAsia="仿宋" w:cs="仿宋"/>
                <w:sz w:val="24"/>
                <w:lang w:val="en-US" w:eastAsia="zh-CN"/>
              </w:rPr>
            </w:pPr>
            <w:r>
              <w:rPr>
                <w:rFonts w:hint="eastAsia" w:ascii="仿宋" w:hAnsi="仿宋" w:eastAsia="仿宋" w:cs="仿宋"/>
                <w:sz w:val="24"/>
              </w:rPr>
              <w:t>联 系 人：</w:t>
            </w:r>
            <w:r>
              <w:rPr>
                <w:rFonts w:hint="eastAsia" w:ascii="仿宋" w:hAnsi="仿宋" w:eastAsia="仿宋" w:cs="仿宋"/>
                <w:sz w:val="24"/>
                <w:lang w:val="en-US" w:eastAsia="zh-CN"/>
              </w:rPr>
              <w:t>达旦</w:t>
            </w:r>
          </w:p>
          <w:p>
            <w:pPr>
              <w:pStyle w:val="2"/>
              <w:rPr>
                <w:rFonts w:hint="default" w:eastAsia="仿宋"/>
                <w:lang w:val="en-US" w:eastAsia="zh-CN"/>
              </w:rPr>
            </w:pPr>
            <w:r>
              <w:rPr>
                <w:rFonts w:hint="eastAsia" w:ascii="仿宋" w:hAnsi="仿宋" w:eastAsia="仿宋" w:cs="仿宋"/>
                <w:sz w:val="24"/>
              </w:rPr>
              <w:t>电    话：</w:t>
            </w:r>
            <w:r>
              <w:rPr>
                <w:rFonts w:hint="eastAsia" w:ascii="仿宋" w:hAnsi="仿宋" w:eastAsia="仿宋" w:cs="仿宋"/>
                <w:sz w:val="24"/>
                <w:lang w:val="en-US" w:eastAsia="zh-CN"/>
              </w:rPr>
              <w:t>18108900939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11" w:hRule="atLeast"/>
          <w:jc w:val="center"/>
        </w:trPr>
        <w:tc>
          <w:tcPr>
            <w:tcW w:w="1193" w:type="dxa"/>
            <w:vAlign w:val="center"/>
          </w:tcPr>
          <w:p>
            <w:pPr>
              <w:keepLines/>
              <w:spacing w:line="360" w:lineRule="auto"/>
              <w:jc w:val="center"/>
              <w:rPr>
                <w:rFonts w:hint="eastAsia" w:ascii="仿宋" w:hAnsi="仿宋" w:eastAsia="仿宋" w:cs="仿宋"/>
                <w:sz w:val="24"/>
                <w:lang w:val="en-US" w:eastAsia="zh-CN"/>
              </w:rPr>
            </w:pPr>
            <w:r>
              <w:rPr>
                <w:rFonts w:hint="eastAsia" w:ascii="仿宋" w:hAnsi="仿宋" w:eastAsia="仿宋" w:cs="仿宋"/>
                <w:sz w:val="24"/>
              </w:rPr>
              <w:t>1.</w:t>
            </w:r>
            <w:r>
              <w:rPr>
                <w:rFonts w:hint="eastAsia" w:ascii="仿宋" w:hAnsi="仿宋" w:eastAsia="仿宋" w:cs="仿宋"/>
                <w:sz w:val="24"/>
                <w:lang w:val="en-US" w:eastAsia="zh-CN"/>
              </w:rPr>
              <w:t>4</w:t>
            </w:r>
          </w:p>
        </w:tc>
        <w:tc>
          <w:tcPr>
            <w:tcW w:w="7837" w:type="dxa"/>
            <w:vAlign w:val="center"/>
          </w:tcPr>
          <w:p>
            <w:pPr>
              <w:keepLines/>
              <w:adjustRightInd w:val="0"/>
              <w:snapToGrid w:val="0"/>
              <w:spacing w:line="360" w:lineRule="auto"/>
              <w:rPr>
                <w:rFonts w:ascii="仿宋" w:hAnsi="仿宋" w:eastAsia="仿宋" w:cs="仿宋"/>
                <w:sz w:val="24"/>
              </w:rPr>
            </w:pPr>
            <w:r>
              <w:rPr>
                <w:rFonts w:hint="eastAsia" w:ascii="仿宋" w:hAnsi="仿宋" w:eastAsia="仿宋" w:cs="仿宋"/>
                <w:sz w:val="24"/>
              </w:rPr>
              <w:t>采购内容：详见第七章招标需求一览表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71" w:hRule="atLeast"/>
          <w:jc w:val="center"/>
        </w:trPr>
        <w:tc>
          <w:tcPr>
            <w:tcW w:w="1193" w:type="dxa"/>
            <w:vAlign w:val="center"/>
          </w:tcPr>
          <w:p>
            <w:pPr>
              <w:keepLines/>
              <w:jc w:val="center"/>
              <w:rPr>
                <w:rFonts w:hint="eastAsia" w:ascii="仿宋" w:hAnsi="仿宋" w:eastAsia="仿宋" w:cs="仿宋"/>
                <w:sz w:val="24"/>
                <w:lang w:val="en-US" w:eastAsia="zh-CN"/>
              </w:rPr>
            </w:pPr>
            <w:r>
              <w:rPr>
                <w:rFonts w:hint="eastAsia" w:ascii="仿宋" w:hAnsi="仿宋" w:eastAsia="仿宋" w:cs="仿宋"/>
                <w:sz w:val="24"/>
              </w:rPr>
              <w:t>1.</w:t>
            </w:r>
            <w:r>
              <w:rPr>
                <w:rFonts w:hint="eastAsia" w:ascii="仿宋" w:hAnsi="仿宋" w:eastAsia="仿宋" w:cs="仿宋"/>
                <w:sz w:val="24"/>
                <w:lang w:val="en-US" w:eastAsia="zh-CN"/>
              </w:rPr>
              <w:t>5</w:t>
            </w:r>
          </w:p>
        </w:tc>
        <w:tc>
          <w:tcPr>
            <w:tcW w:w="7837" w:type="dxa"/>
            <w:vAlign w:val="center"/>
          </w:tcPr>
          <w:p>
            <w:pPr>
              <w:keepLines/>
              <w:spacing w:line="360" w:lineRule="auto"/>
              <w:jc w:val="left"/>
              <w:rPr>
                <w:rFonts w:hint="eastAsia" w:ascii="仿宋" w:hAnsi="仿宋" w:eastAsia="仿宋" w:cs="仿宋"/>
                <w:sz w:val="24"/>
                <w:lang w:eastAsia="zh-CN"/>
              </w:rPr>
            </w:pPr>
            <w:r>
              <w:rPr>
                <w:rFonts w:hint="eastAsia" w:ascii="仿宋" w:hAnsi="仿宋" w:eastAsia="仿宋" w:cs="仿宋"/>
                <w:sz w:val="24"/>
              </w:rPr>
              <w:t>资金来源：</w:t>
            </w:r>
            <w:r>
              <w:rPr>
                <w:rFonts w:hint="eastAsia" w:ascii="仿宋" w:hAnsi="仿宋" w:eastAsia="仿宋" w:cs="仿宋"/>
                <w:sz w:val="24"/>
                <w:lang w:val="en-US" w:eastAsia="zh-CN"/>
              </w:rPr>
              <w:t>公司自筹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38" w:hRule="atLeast"/>
          <w:jc w:val="center"/>
        </w:trPr>
        <w:tc>
          <w:tcPr>
            <w:tcW w:w="9030" w:type="dxa"/>
            <w:gridSpan w:val="2"/>
            <w:vAlign w:val="center"/>
          </w:tcPr>
          <w:p>
            <w:pPr>
              <w:keepLines/>
              <w:jc w:val="center"/>
              <w:rPr>
                <w:rFonts w:ascii="仿宋" w:hAnsi="仿宋" w:eastAsia="仿宋" w:cs="仿宋"/>
                <w:sz w:val="24"/>
              </w:rPr>
            </w:pPr>
            <w:r>
              <w:rPr>
                <w:rFonts w:hint="eastAsia" w:ascii="仿宋" w:hAnsi="仿宋" w:eastAsia="仿宋" w:cs="仿宋"/>
                <w:sz w:val="24"/>
              </w:rPr>
              <w:t>投标报价和货币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1960" w:hRule="atLeast"/>
          <w:jc w:val="center"/>
        </w:trPr>
        <w:tc>
          <w:tcPr>
            <w:tcW w:w="1193" w:type="dxa"/>
            <w:vAlign w:val="center"/>
          </w:tcPr>
          <w:p>
            <w:pPr>
              <w:keepLines/>
              <w:spacing w:line="360" w:lineRule="exact"/>
              <w:jc w:val="center"/>
              <w:rPr>
                <w:rFonts w:ascii="仿宋" w:hAnsi="仿宋" w:eastAsia="仿宋" w:cs="仿宋"/>
                <w:sz w:val="24"/>
              </w:rPr>
            </w:pPr>
            <w:r>
              <w:rPr>
                <w:rFonts w:hint="eastAsia" w:ascii="仿宋" w:hAnsi="仿宋" w:eastAsia="仿宋" w:cs="仿宋"/>
                <w:sz w:val="24"/>
              </w:rPr>
              <w:t>2.1</w:t>
            </w:r>
          </w:p>
        </w:tc>
        <w:tc>
          <w:tcPr>
            <w:tcW w:w="7837" w:type="dxa"/>
            <w:vAlign w:val="center"/>
          </w:tcPr>
          <w:p>
            <w:pPr>
              <w:keepLines/>
              <w:spacing w:line="360" w:lineRule="exact"/>
              <w:rPr>
                <w:rFonts w:ascii="仿宋" w:hAnsi="仿宋" w:eastAsia="仿宋" w:cs="仿宋"/>
                <w:sz w:val="24"/>
              </w:rPr>
            </w:pPr>
            <w:r>
              <w:rPr>
                <w:rFonts w:hint="eastAsia" w:ascii="仿宋" w:hAnsi="仿宋" w:eastAsia="仿宋" w:cs="仿宋"/>
                <w:sz w:val="24"/>
              </w:rPr>
              <w:t>投标报价：货物的最终目的地价（货物费用、服务费用、管理费用等）等</w:t>
            </w:r>
          </w:p>
          <w:p>
            <w:pPr>
              <w:keepLines/>
              <w:spacing w:line="360" w:lineRule="exact"/>
              <w:rPr>
                <w:rFonts w:hint="eastAsia" w:ascii="仿宋" w:hAnsi="仿宋" w:eastAsia="仿宋" w:cs="仿宋"/>
                <w:sz w:val="24"/>
                <w:lang w:val="en-US" w:eastAsia="zh-CN"/>
              </w:rPr>
            </w:pPr>
            <w:r>
              <w:rPr>
                <w:rFonts w:hint="eastAsia" w:ascii="仿宋" w:hAnsi="仿宋" w:eastAsia="仿宋" w:cs="仿宋"/>
                <w:sz w:val="24"/>
                <w:lang w:val="en-US" w:eastAsia="zh-CN"/>
              </w:rPr>
              <w:t>单品价格招标（不得超过集采价和挂网价）；</w:t>
            </w:r>
          </w:p>
          <w:p>
            <w:pPr>
              <w:keepLines/>
              <w:spacing w:line="360" w:lineRule="exact"/>
              <w:rPr>
                <w:rFonts w:ascii="仿宋" w:hAnsi="仿宋" w:eastAsia="仿宋" w:cs="仿宋"/>
                <w:b/>
                <w:bCs/>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318" w:hRule="atLeast"/>
          <w:jc w:val="center"/>
        </w:trPr>
        <w:tc>
          <w:tcPr>
            <w:tcW w:w="1193" w:type="dxa"/>
            <w:vAlign w:val="center"/>
          </w:tcPr>
          <w:p>
            <w:pPr>
              <w:keepLines/>
              <w:jc w:val="center"/>
              <w:rPr>
                <w:rFonts w:ascii="仿宋" w:hAnsi="仿宋" w:eastAsia="仿宋" w:cs="仿宋"/>
                <w:sz w:val="24"/>
              </w:rPr>
            </w:pPr>
            <w:r>
              <w:rPr>
                <w:rFonts w:hint="eastAsia" w:ascii="仿宋" w:hAnsi="仿宋" w:eastAsia="仿宋" w:cs="仿宋"/>
                <w:sz w:val="24"/>
              </w:rPr>
              <w:t>2.2</w:t>
            </w:r>
          </w:p>
        </w:tc>
        <w:tc>
          <w:tcPr>
            <w:tcW w:w="7837" w:type="dxa"/>
            <w:vAlign w:val="center"/>
          </w:tcPr>
          <w:p>
            <w:pPr>
              <w:keepLines/>
              <w:spacing w:line="360" w:lineRule="auto"/>
              <w:jc w:val="left"/>
              <w:rPr>
                <w:rFonts w:ascii="仿宋" w:hAnsi="仿宋" w:eastAsia="仿宋" w:cs="仿宋"/>
                <w:i/>
                <w:sz w:val="24"/>
              </w:rPr>
            </w:pPr>
            <w:r>
              <w:rPr>
                <w:rFonts w:hint="eastAsia" w:ascii="仿宋" w:hAnsi="仿宋" w:eastAsia="仿宋" w:cs="仿宋"/>
                <w:sz w:val="24"/>
              </w:rPr>
              <w:t>投标货币：人民币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1211" w:hRule="atLeast"/>
          <w:jc w:val="center"/>
        </w:trPr>
        <w:tc>
          <w:tcPr>
            <w:tcW w:w="9030" w:type="dxa"/>
            <w:gridSpan w:val="2"/>
            <w:vAlign w:val="center"/>
          </w:tcPr>
          <w:p>
            <w:pPr>
              <w:keepLines/>
              <w:spacing w:line="360" w:lineRule="auto"/>
              <w:jc w:val="center"/>
              <w:rPr>
                <w:rFonts w:ascii="仿宋" w:hAnsi="仿宋" w:eastAsia="仿宋" w:cs="仿宋"/>
                <w:sz w:val="24"/>
              </w:rPr>
            </w:pPr>
            <w:r>
              <w:rPr>
                <w:rFonts w:hint="eastAsia" w:ascii="仿宋" w:hAnsi="仿宋" w:eastAsia="仿宋" w:cs="仿宋"/>
                <w:sz w:val="24"/>
              </w:rPr>
              <w:t>投标文件的编制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1505" w:hRule="atLeast"/>
          <w:jc w:val="center"/>
        </w:trPr>
        <w:tc>
          <w:tcPr>
            <w:tcW w:w="1193" w:type="dxa"/>
            <w:vAlign w:val="center"/>
          </w:tcPr>
          <w:p>
            <w:pPr>
              <w:keepLines/>
              <w:spacing w:line="360" w:lineRule="auto"/>
              <w:ind w:left="1"/>
              <w:jc w:val="left"/>
              <w:rPr>
                <w:rFonts w:ascii="仿宋" w:hAnsi="仿宋" w:eastAsia="仿宋" w:cs="仿宋"/>
                <w:sz w:val="24"/>
              </w:rPr>
            </w:pPr>
            <w:r>
              <w:rPr>
                <w:rFonts w:hint="eastAsia" w:ascii="仿宋" w:hAnsi="仿宋" w:eastAsia="仿宋" w:cs="仿宋"/>
                <w:sz w:val="24"/>
              </w:rPr>
              <w:t>3.1</w:t>
            </w:r>
          </w:p>
        </w:tc>
        <w:tc>
          <w:tcPr>
            <w:tcW w:w="7837" w:type="dxa"/>
            <w:vAlign w:val="center"/>
          </w:tcPr>
          <w:p>
            <w:pPr>
              <w:keepLines/>
              <w:spacing w:line="360" w:lineRule="auto"/>
              <w:ind w:left="1"/>
              <w:jc w:val="left"/>
              <w:rPr>
                <w:rFonts w:ascii="仿宋" w:hAnsi="仿宋" w:eastAsia="仿宋" w:cs="仿宋"/>
                <w:sz w:val="24"/>
              </w:rPr>
            </w:pPr>
            <w:r>
              <w:rPr>
                <w:rFonts w:hint="eastAsia" w:ascii="仿宋" w:hAnsi="仿宋" w:eastAsia="仿宋" w:cs="仿宋"/>
                <w:sz w:val="24"/>
              </w:rPr>
              <w:t>资格标准：</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1.投标人须符合《政府采购法》第二十二条的相关规定：</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1)具有独立承担民事责任的能力(提供法人或者其他组织的营业执照等证明文件,自然人的身份证明)；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2)具有良好的商业信誉和健全的财务会计制度（提供2018年-2020年度财务报表；投标人为2020年1月1日以后成立的，可提供近期的月或季度财务报表复印件）；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3)有依法缴纳税收和社会保障资金的良好记录（提供近半年至今任意一个月缴纳税收和社会保险的凭证复印件。如依法免税或不需要缴纳社会保障资金的，应提供相应文件证明复印件)；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2.拟参加本项目的潜在供应商须具备有效的营业执照</w:t>
            </w:r>
            <w:r>
              <w:rPr>
                <w:rFonts w:hint="eastAsia" w:ascii="仿宋" w:hAnsi="仿宋" w:eastAsia="仿宋" w:cs="仿宋"/>
                <w:sz w:val="24"/>
                <w:lang w:eastAsia="zh-CN"/>
              </w:rPr>
              <w:t>、</w:t>
            </w:r>
            <w:r>
              <w:rPr>
                <w:rFonts w:hint="eastAsia" w:ascii="仿宋" w:hAnsi="仿宋" w:eastAsia="仿宋" w:cs="仿宋"/>
                <w:sz w:val="24"/>
                <w:lang w:val="en-US" w:eastAsia="zh-CN"/>
              </w:rPr>
              <w:t>资质证书</w:t>
            </w:r>
            <w:r>
              <w:rPr>
                <w:rFonts w:hint="eastAsia" w:ascii="仿宋" w:hAnsi="仿宋" w:eastAsia="仿宋" w:cs="仿宋"/>
                <w:sz w:val="24"/>
              </w:rPr>
              <w:t>，且经营范围包含本次采购内容。</w:t>
            </w:r>
          </w:p>
          <w:p>
            <w:pPr>
              <w:wordWrap w:val="0"/>
              <w:autoSpaceDE w:val="0"/>
              <w:autoSpaceDN w:val="0"/>
              <w:snapToGrid w:val="0"/>
              <w:spacing w:line="360" w:lineRule="auto"/>
              <w:rPr>
                <w:rFonts w:ascii="仿宋" w:hAnsi="仿宋" w:eastAsia="仿宋" w:cs="仿宋"/>
                <w:sz w:val="24"/>
              </w:rPr>
            </w:pPr>
            <w:r>
              <w:rPr>
                <w:rFonts w:hint="eastAsia" w:ascii="仿宋" w:hAnsi="仿宋" w:eastAsia="仿宋" w:cs="仿宋"/>
                <w:sz w:val="24"/>
              </w:rPr>
              <w:t>3.投标人在“信用中国”网（www.creditchina.gov.cn）、“中国政府采购”网（www.ccgp.gov.cn）没有被列入失信被执行人、重大税收违法案件当事人名单、政府采购严重违法失信行为记录名单及其他不符合规定条件的供应商（以本项目招标公告发布之日至提交投标文件截止之日期间，在上述网址的网页查询结果为准）。</w:t>
            </w:r>
          </w:p>
          <w:p>
            <w:pPr>
              <w:autoSpaceDE w:val="0"/>
              <w:autoSpaceDN w:val="0"/>
              <w:snapToGrid w:val="0"/>
              <w:spacing w:line="360" w:lineRule="auto"/>
              <w:rPr>
                <w:rFonts w:ascii="仿宋" w:hAnsi="仿宋" w:eastAsia="仿宋" w:cs="仿宋"/>
                <w:color w:val="FF0000"/>
                <w:sz w:val="24"/>
              </w:rPr>
            </w:pPr>
            <w:r>
              <w:rPr>
                <w:rFonts w:hint="eastAsia" w:ascii="仿宋" w:hAnsi="仿宋" w:eastAsia="仿宋" w:cs="仿宋"/>
                <w:sz w:val="24"/>
              </w:rPr>
              <w:t>4.单位负责人为同一人或者存在直接控股、管理关系的不同供应商，不得同时参加本采购项目投标。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613" w:hRule="atLeast"/>
          <w:jc w:val="center"/>
        </w:trPr>
        <w:tc>
          <w:tcPr>
            <w:tcW w:w="1193" w:type="dxa"/>
            <w:vAlign w:val="center"/>
          </w:tcPr>
          <w:p>
            <w:pPr>
              <w:keepLines/>
              <w:jc w:val="center"/>
              <w:rPr>
                <w:rFonts w:ascii="仿宋" w:hAnsi="仿宋" w:eastAsia="仿宋" w:cs="仿宋"/>
                <w:sz w:val="24"/>
              </w:rPr>
            </w:pPr>
            <w:r>
              <w:rPr>
                <w:rFonts w:hint="eastAsia" w:ascii="仿宋" w:hAnsi="仿宋" w:eastAsia="仿宋" w:cs="仿宋"/>
                <w:sz w:val="24"/>
              </w:rPr>
              <w:t>3.2</w:t>
            </w:r>
          </w:p>
        </w:tc>
        <w:tc>
          <w:tcPr>
            <w:tcW w:w="7837" w:type="dxa"/>
            <w:vAlign w:val="center"/>
          </w:tcPr>
          <w:p>
            <w:pPr>
              <w:keepLines/>
              <w:spacing w:line="360" w:lineRule="auto"/>
              <w:rPr>
                <w:rFonts w:ascii="仿宋" w:hAnsi="仿宋" w:eastAsia="仿宋" w:cs="仿宋"/>
                <w:sz w:val="24"/>
              </w:rPr>
            </w:pPr>
            <w:r>
              <w:rPr>
                <w:rFonts w:hint="eastAsia" w:ascii="仿宋" w:hAnsi="仿宋" w:eastAsia="仿宋" w:cs="仿宋"/>
                <w:sz w:val="24"/>
                <w:lang w:val="en-US" w:eastAsia="zh-CN"/>
              </w:rPr>
              <w:t>货物</w:t>
            </w:r>
            <w:r>
              <w:rPr>
                <w:rFonts w:hint="eastAsia" w:ascii="仿宋" w:hAnsi="仿宋" w:eastAsia="仿宋" w:cs="仿宋"/>
                <w:sz w:val="24"/>
              </w:rPr>
              <w:t>配备要求：</w:t>
            </w:r>
            <w:r>
              <w:rPr>
                <w:rFonts w:hint="eastAsia" w:ascii="仿宋" w:hAnsi="仿宋" w:eastAsia="仿宋" w:cs="仿宋"/>
                <w:sz w:val="24"/>
                <w:lang w:val="en-US" w:eastAsia="zh-CN"/>
              </w:rPr>
              <w:t>要</w:t>
            </w:r>
            <w:r>
              <w:rPr>
                <w:rFonts w:hint="eastAsia" w:ascii="仿宋" w:hAnsi="仿宋" w:eastAsia="仿宋" w:cs="仿宋"/>
                <w:sz w:val="24"/>
              </w:rPr>
              <w:t>满足</w:t>
            </w:r>
            <w:r>
              <w:rPr>
                <w:rFonts w:hint="eastAsia" w:ascii="仿宋" w:hAnsi="仿宋" w:eastAsia="仿宋" w:cs="仿宋"/>
                <w:sz w:val="24"/>
                <w:lang w:val="en-US" w:eastAsia="zh-CN"/>
              </w:rPr>
              <w:t>医院需求</w:t>
            </w:r>
            <w:r>
              <w:rPr>
                <w:rFonts w:hint="eastAsia" w:ascii="仿宋" w:hAnsi="仿宋" w:eastAsia="仿宋" w:cs="仿宋"/>
                <w:sz w:val="24"/>
              </w:rPr>
              <w:t>，</w:t>
            </w:r>
            <w:r>
              <w:rPr>
                <w:rFonts w:hint="eastAsia" w:ascii="仿宋" w:hAnsi="仿宋" w:eastAsia="仿宋" w:cs="仿宋"/>
                <w:sz w:val="24"/>
                <w:lang w:val="en-US" w:eastAsia="zh-CN"/>
              </w:rPr>
              <w:t>随时提供货物</w:t>
            </w:r>
            <w:r>
              <w:rPr>
                <w:rFonts w:hint="eastAsia" w:ascii="仿宋" w:hAnsi="仿宋" w:eastAsia="仿宋" w:cs="仿宋"/>
                <w:sz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102" w:hRule="atLeast"/>
          <w:jc w:val="center"/>
        </w:trPr>
        <w:tc>
          <w:tcPr>
            <w:tcW w:w="1193" w:type="dxa"/>
            <w:vAlign w:val="center"/>
          </w:tcPr>
          <w:p>
            <w:pPr>
              <w:keepLines/>
              <w:jc w:val="center"/>
              <w:rPr>
                <w:rFonts w:ascii="仿宋" w:hAnsi="仿宋" w:eastAsia="仿宋" w:cs="仿宋"/>
                <w:sz w:val="24"/>
              </w:rPr>
            </w:pPr>
            <w:r>
              <w:rPr>
                <w:rFonts w:hint="eastAsia" w:ascii="仿宋" w:hAnsi="仿宋" w:eastAsia="仿宋" w:cs="仿宋"/>
                <w:sz w:val="24"/>
              </w:rPr>
              <w:t>3.3</w:t>
            </w:r>
          </w:p>
        </w:tc>
        <w:tc>
          <w:tcPr>
            <w:tcW w:w="7837" w:type="dxa"/>
            <w:vAlign w:val="center"/>
          </w:tcPr>
          <w:p>
            <w:pPr>
              <w:keepLines/>
              <w:spacing w:line="360" w:lineRule="auto"/>
              <w:ind w:left="1"/>
              <w:jc w:val="left"/>
              <w:rPr>
                <w:rFonts w:ascii="仿宋" w:hAnsi="仿宋" w:eastAsia="仿宋" w:cs="仿宋"/>
                <w:sz w:val="24"/>
              </w:rPr>
            </w:pPr>
            <w:r>
              <w:rPr>
                <w:rFonts w:hint="eastAsia" w:ascii="仿宋" w:hAnsi="仿宋" w:eastAsia="仿宋" w:cs="仿宋"/>
                <w:sz w:val="24"/>
              </w:rPr>
              <w:t xml:space="preserve">招标文件的澄清：不统一组织标前答疑会，各投标单位如有问题，请将需要解答的问题按规定提出，采购人予以回复。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12" w:hRule="atLeast"/>
          <w:jc w:val="center"/>
        </w:trPr>
        <w:tc>
          <w:tcPr>
            <w:tcW w:w="1193" w:type="dxa"/>
            <w:vAlign w:val="center"/>
          </w:tcPr>
          <w:p>
            <w:pPr>
              <w:keepLines/>
              <w:spacing w:line="360" w:lineRule="auto"/>
              <w:jc w:val="center"/>
              <w:rPr>
                <w:rFonts w:ascii="仿宋" w:hAnsi="仿宋" w:eastAsia="仿宋" w:cs="仿宋"/>
                <w:sz w:val="24"/>
              </w:rPr>
            </w:pPr>
            <w:r>
              <w:rPr>
                <w:rFonts w:hint="eastAsia" w:ascii="仿宋" w:hAnsi="仿宋" w:eastAsia="仿宋" w:cs="仿宋"/>
                <w:sz w:val="24"/>
              </w:rPr>
              <w:t>3.4</w:t>
            </w:r>
          </w:p>
        </w:tc>
        <w:tc>
          <w:tcPr>
            <w:tcW w:w="7837" w:type="dxa"/>
            <w:vAlign w:val="center"/>
          </w:tcPr>
          <w:p>
            <w:pPr>
              <w:keepLines/>
              <w:spacing w:line="360" w:lineRule="auto"/>
              <w:ind w:left="1"/>
              <w:jc w:val="left"/>
              <w:rPr>
                <w:rFonts w:hint="eastAsia" w:ascii="仿宋" w:hAnsi="仿宋" w:eastAsia="仿宋" w:cs="仿宋"/>
                <w:lang w:val="en-US" w:eastAsia="zh-CN"/>
              </w:rPr>
            </w:pPr>
            <w:r>
              <w:rPr>
                <w:rFonts w:hint="eastAsia" w:ascii="仿宋" w:hAnsi="仿宋" w:eastAsia="仿宋" w:cs="仿宋"/>
                <w:color w:val="000000"/>
                <w:sz w:val="24"/>
              </w:rPr>
              <w:t>投标保证金金额：</w:t>
            </w:r>
            <w:r>
              <w:rPr>
                <w:rFonts w:hint="eastAsia" w:ascii="仿宋" w:hAnsi="仿宋" w:eastAsia="仿宋" w:cs="仿宋"/>
                <w:color w:val="000000"/>
                <w:sz w:val="24"/>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35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w:t>
            </w:r>
            <w:r>
              <w:rPr>
                <w:rFonts w:hint="eastAsia" w:ascii="仿宋" w:hAnsi="仿宋" w:eastAsia="仿宋" w:cs="仿宋"/>
                <w:sz w:val="24"/>
                <w:lang w:val="en-US" w:eastAsia="zh-CN"/>
              </w:rPr>
              <w:t>5</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投标有效期：开标之日起90个日历日，如果中标，有效期自动延长至合同履行完毕。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88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w:t>
            </w:r>
            <w:r>
              <w:rPr>
                <w:rFonts w:hint="eastAsia" w:ascii="仿宋" w:hAnsi="仿宋" w:eastAsia="仿宋" w:cs="仿宋"/>
                <w:sz w:val="24"/>
                <w:lang w:val="en-US" w:eastAsia="zh-CN"/>
              </w:rPr>
              <w:t>6</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投标文件份数：正本壹份，副本肆份，电子版壹份。</w:t>
            </w:r>
          </w:p>
          <w:p>
            <w:pPr>
              <w:spacing w:line="360" w:lineRule="auto"/>
              <w:jc w:val="left"/>
              <w:rPr>
                <w:rFonts w:ascii="仿宋" w:hAnsi="仿宋" w:eastAsia="仿宋" w:cs="仿宋"/>
                <w:sz w:val="24"/>
              </w:rPr>
            </w:pPr>
            <w:r>
              <w:rPr>
                <w:rFonts w:hint="eastAsia" w:ascii="仿宋" w:hAnsi="仿宋" w:eastAsia="仿宋" w:cs="仿宋"/>
                <w:sz w:val="24"/>
              </w:rPr>
              <w:t>（包含投标文件所有内容）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51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w:t>
            </w:r>
            <w:r>
              <w:rPr>
                <w:rFonts w:hint="eastAsia" w:ascii="仿宋" w:hAnsi="仿宋" w:eastAsia="仿宋" w:cs="仿宋"/>
                <w:sz w:val="24"/>
                <w:lang w:val="en-US" w:eastAsia="zh-CN"/>
              </w:rPr>
              <w:t>7</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color w:val="000000"/>
                <w:sz w:val="24"/>
              </w:rPr>
              <w:t>投标截止时间：2021年1</w:t>
            </w:r>
            <w:r>
              <w:rPr>
                <w:rFonts w:hint="eastAsia" w:ascii="仿宋" w:hAnsi="仿宋" w:eastAsia="仿宋" w:cs="仿宋"/>
                <w:color w:val="000000"/>
                <w:sz w:val="24"/>
                <w:lang w:val="en-US" w:eastAsia="zh-CN"/>
              </w:rPr>
              <w:t>2</w:t>
            </w:r>
            <w:r>
              <w:rPr>
                <w:rFonts w:hint="eastAsia" w:ascii="仿宋" w:hAnsi="仿宋" w:eastAsia="仿宋" w:cs="仿宋"/>
                <w:color w:val="000000"/>
                <w:sz w:val="24"/>
              </w:rPr>
              <w:t>月</w:t>
            </w:r>
            <w:r>
              <w:rPr>
                <w:rFonts w:hint="eastAsia" w:ascii="仿宋" w:hAnsi="仿宋" w:eastAsia="仿宋" w:cs="仿宋"/>
                <w:color w:val="000000"/>
                <w:sz w:val="24"/>
                <w:lang w:val="en-US" w:eastAsia="zh-CN"/>
              </w:rPr>
              <w:t>1</w:t>
            </w:r>
            <w:r>
              <w:rPr>
                <w:rFonts w:hint="eastAsia" w:ascii="仿宋" w:hAnsi="仿宋" w:eastAsia="仿宋" w:cs="仿宋"/>
                <w:color w:val="000000"/>
                <w:sz w:val="24"/>
              </w:rPr>
              <w:t>日15时30分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1048"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w:t>
            </w:r>
            <w:r>
              <w:rPr>
                <w:rFonts w:hint="eastAsia" w:ascii="仿宋" w:hAnsi="仿宋" w:eastAsia="仿宋" w:cs="仿宋"/>
                <w:sz w:val="24"/>
                <w:lang w:val="en-US" w:eastAsia="zh-CN"/>
              </w:rPr>
              <w:t>8</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开标时间：2021年1</w:t>
            </w:r>
            <w:r>
              <w:rPr>
                <w:rFonts w:hint="eastAsia" w:ascii="仿宋" w:hAnsi="仿宋" w:eastAsia="仿宋" w:cs="仿宋"/>
                <w:sz w:val="24"/>
                <w:lang w:val="en-US" w:eastAsia="zh-CN"/>
              </w:rPr>
              <w:t>2</w:t>
            </w:r>
            <w:r>
              <w:rPr>
                <w:rFonts w:hint="eastAsia" w:ascii="仿宋" w:hAnsi="仿宋" w:eastAsia="仿宋" w:cs="仿宋"/>
                <w:sz w:val="24"/>
              </w:rPr>
              <w:t>月</w:t>
            </w:r>
            <w:r>
              <w:rPr>
                <w:rFonts w:hint="eastAsia" w:ascii="仿宋" w:hAnsi="仿宋" w:eastAsia="仿宋" w:cs="仿宋"/>
                <w:sz w:val="24"/>
                <w:lang w:val="en-US" w:eastAsia="zh-CN"/>
              </w:rPr>
              <w:t>1</w:t>
            </w:r>
            <w:r>
              <w:rPr>
                <w:rFonts w:hint="eastAsia" w:ascii="仿宋" w:hAnsi="仿宋" w:eastAsia="仿宋" w:cs="仿宋"/>
                <w:sz w:val="24"/>
              </w:rPr>
              <w:t>日15时30分</w:t>
            </w:r>
          </w:p>
          <w:p>
            <w:pPr>
              <w:spacing w:line="360" w:lineRule="auto"/>
              <w:jc w:val="left"/>
              <w:rPr>
                <w:rFonts w:hint="default" w:ascii="仿宋" w:hAnsi="仿宋" w:eastAsia="仿宋" w:cs="仿宋"/>
                <w:sz w:val="24"/>
                <w:lang w:val="en-US" w:eastAsia="zh-CN"/>
              </w:rPr>
            </w:pPr>
            <w:r>
              <w:rPr>
                <w:rFonts w:hint="eastAsia" w:ascii="仿宋" w:hAnsi="仿宋" w:eastAsia="仿宋" w:cs="仿宋"/>
                <w:sz w:val="24"/>
              </w:rPr>
              <w:t>开标地点：</w:t>
            </w:r>
            <w:r>
              <w:rPr>
                <w:rFonts w:hint="eastAsia" w:ascii="仿宋" w:hAnsi="仿宋" w:eastAsia="仿宋" w:cs="仿宋"/>
                <w:sz w:val="24"/>
                <w:lang w:val="en-US" w:eastAsia="zh-CN"/>
              </w:rPr>
              <w:t>西藏康城肿瘤医院一楼会议室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22" w:hRule="atLeast"/>
          <w:jc w:val="center"/>
        </w:trPr>
        <w:tc>
          <w:tcPr>
            <w:tcW w:w="1193" w:type="dxa"/>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rPr>
              <w:t>3.</w:t>
            </w:r>
            <w:r>
              <w:rPr>
                <w:rFonts w:hint="eastAsia" w:ascii="仿宋" w:hAnsi="仿宋" w:eastAsia="仿宋" w:cs="仿宋"/>
                <w:sz w:val="24"/>
                <w:lang w:val="en-US" w:eastAsia="zh-CN"/>
              </w:rPr>
              <w:t>9</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质量标准：合格（符合国家现行相关标准及招标文件要求）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92" w:hRule="atLeast"/>
          <w:jc w:val="center"/>
        </w:trPr>
        <w:tc>
          <w:tcPr>
            <w:tcW w:w="1193" w:type="dxa"/>
            <w:vAlign w:val="center"/>
          </w:tcPr>
          <w:p>
            <w:pPr>
              <w:spacing w:line="360" w:lineRule="auto"/>
              <w:jc w:val="center"/>
              <w:rPr>
                <w:rFonts w:hint="default" w:ascii="仿宋" w:hAnsi="仿宋" w:eastAsia="仿宋" w:cs="仿宋"/>
                <w:sz w:val="24"/>
                <w:lang w:val="en-US" w:eastAsia="zh-CN"/>
              </w:rPr>
            </w:pPr>
            <w:r>
              <w:rPr>
                <w:rFonts w:hint="eastAsia" w:ascii="仿宋" w:hAnsi="仿宋" w:eastAsia="仿宋" w:cs="仿宋"/>
                <w:sz w:val="24"/>
              </w:rPr>
              <w:t>3.</w:t>
            </w:r>
            <w:r>
              <w:rPr>
                <w:rFonts w:hint="eastAsia" w:ascii="仿宋" w:hAnsi="仿宋" w:eastAsia="仿宋" w:cs="仿宋"/>
                <w:sz w:val="24"/>
                <w:lang w:val="en-US" w:eastAsia="zh-CN"/>
              </w:rPr>
              <w:t>10</w:t>
            </w:r>
          </w:p>
        </w:tc>
        <w:tc>
          <w:tcPr>
            <w:tcW w:w="7837" w:type="dxa"/>
            <w:vAlign w:val="center"/>
          </w:tcPr>
          <w:p>
            <w:pPr>
              <w:spacing w:line="360" w:lineRule="auto"/>
              <w:jc w:val="left"/>
              <w:rPr>
                <w:rFonts w:hint="eastAsia" w:ascii="仿宋" w:hAnsi="仿宋" w:eastAsia="仿宋" w:cs="仿宋"/>
                <w:bCs/>
                <w:kern w:val="0"/>
                <w:sz w:val="24"/>
                <w:lang w:eastAsia="zh-CN"/>
              </w:rPr>
            </w:pPr>
            <w:r>
              <w:rPr>
                <w:rFonts w:hint="eastAsia" w:ascii="仿宋" w:hAnsi="仿宋" w:eastAsia="仿宋" w:cs="仿宋"/>
                <w:bCs/>
                <w:kern w:val="0"/>
                <w:sz w:val="24"/>
              </w:rPr>
              <w:t>供货地点：</w:t>
            </w:r>
            <w:r>
              <w:rPr>
                <w:rFonts w:hint="eastAsia" w:ascii="仿宋" w:hAnsi="仿宋" w:eastAsia="仿宋" w:cs="仿宋"/>
                <w:bCs/>
                <w:kern w:val="0"/>
                <w:sz w:val="24"/>
                <w:lang w:val="en-US" w:eastAsia="zh-CN"/>
              </w:rPr>
              <w:t>西藏康城肿瘤医院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9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3.1</w:t>
            </w:r>
            <w:r>
              <w:rPr>
                <w:rFonts w:hint="eastAsia" w:ascii="仿宋" w:hAnsi="仿宋" w:eastAsia="仿宋" w:cs="仿宋"/>
                <w:sz w:val="24"/>
                <w:lang w:val="en-US" w:eastAsia="zh-CN"/>
              </w:rPr>
              <w:t>1</w:t>
            </w:r>
          </w:p>
        </w:tc>
        <w:tc>
          <w:tcPr>
            <w:tcW w:w="7837" w:type="dxa"/>
            <w:vAlign w:val="center"/>
          </w:tcPr>
          <w:p>
            <w:pPr>
              <w:spacing w:line="360" w:lineRule="auto"/>
              <w:jc w:val="left"/>
              <w:rPr>
                <w:rFonts w:ascii="仿宋" w:hAnsi="仿宋" w:eastAsia="仿宋" w:cs="仿宋"/>
                <w:bCs/>
                <w:kern w:val="0"/>
                <w:sz w:val="24"/>
              </w:rPr>
            </w:pPr>
            <w:r>
              <w:rPr>
                <w:rFonts w:hint="eastAsia" w:ascii="仿宋" w:hAnsi="仿宋" w:eastAsia="仿宋" w:cs="仿宋"/>
                <w:bCs/>
                <w:kern w:val="0"/>
                <w:sz w:val="24"/>
              </w:rPr>
              <w:t>合同履行期限：</w:t>
            </w:r>
            <w:r>
              <w:rPr>
                <w:rFonts w:hint="eastAsia" w:ascii="仿宋" w:hAnsi="仿宋" w:eastAsia="仿宋" w:cs="仿宋"/>
                <w:bCs/>
                <w:kern w:val="0"/>
                <w:sz w:val="24"/>
                <w:lang w:val="en-US" w:eastAsia="zh-CN"/>
              </w:rPr>
              <w:t>2022年1月1日-2022年12月31</w:t>
            </w:r>
            <w:r>
              <w:rPr>
                <w:rFonts w:hint="eastAsia" w:ascii="仿宋" w:hAnsi="仿宋" w:eastAsia="仿宋" w:cs="仿宋"/>
                <w:bCs/>
                <w:kern w:val="0"/>
                <w:sz w:val="24"/>
              </w:rPr>
              <w:t>日历天内完成。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9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3.1</w:t>
            </w:r>
            <w:r>
              <w:rPr>
                <w:rFonts w:hint="eastAsia" w:ascii="仿宋" w:hAnsi="仿宋" w:eastAsia="仿宋" w:cs="仿宋"/>
                <w:sz w:val="24"/>
                <w:lang w:val="en-US" w:eastAsia="zh-CN"/>
              </w:rPr>
              <w:t>2</w:t>
            </w:r>
          </w:p>
        </w:tc>
        <w:tc>
          <w:tcPr>
            <w:tcW w:w="7837" w:type="dxa"/>
            <w:vAlign w:val="center"/>
          </w:tcPr>
          <w:p>
            <w:pPr>
              <w:spacing w:line="360" w:lineRule="auto"/>
              <w:jc w:val="left"/>
              <w:rPr>
                <w:rFonts w:ascii="仿宋" w:hAnsi="仿宋" w:eastAsia="仿宋" w:cs="仿宋"/>
                <w:bCs/>
                <w:kern w:val="0"/>
                <w:sz w:val="24"/>
              </w:rPr>
            </w:pPr>
            <w:r>
              <w:rPr>
                <w:rFonts w:hint="eastAsia" w:ascii="仿宋" w:hAnsi="仿宋" w:eastAsia="仿宋" w:cs="仿宋"/>
                <w:bCs/>
                <w:kern w:val="0"/>
                <w:sz w:val="24"/>
              </w:rPr>
              <w:t>交货方式：</w:t>
            </w:r>
            <w:r>
              <w:rPr>
                <w:rFonts w:hint="eastAsia" w:ascii="仿宋" w:hAnsi="仿宋" w:eastAsia="仿宋" w:cs="仿宋"/>
                <w:bCs/>
                <w:kern w:val="0"/>
                <w:sz w:val="24"/>
                <w:lang w:val="en-US" w:eastAsia="zh-CN"/>
              </w:rPr>
              <w:t>根据医院需求，提供送货</w:t>
            </w:r>
            <w:r>
              <w:rPr>
                <w:rFonts w:hint="eastAsia" w:ascii="仿宋" w:hAnsi="仿宋" w:eastAsia="仿宋" w:cs="仿宋"/>
                <w:bCs/>
                <w:kern w:val="0"/>
                <w:sz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9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3.1</w:t>
            </w:r>
            <w:r>
              <w:rPr>
                <w:rFonts w:hint="eastAsia" w:ascii="仿宋" w:hAnsi="仿宋" w:eastAsia="仿宋" w:cs="仿宋"/>
                <w:sz w:val="24"/>
                <w:lang w:val="en-US" w:eastAsia="zh-CN"/>
              </w:rPr>
              <w:t>3</w:t>
            </w:r>
          </w:p>
        </w:tc>
        <w:tc>
          <w:tcPr>
            <w:tcW w:w="7837" w:type="dxa"/>
            <w:vAlign w:val="center"/>
          </w:tcPr>
          <w:p>
            <w:pPr>
              <w:spacing w:line="360" w:lineRule="auto"/>
              <w:jc w:val="left"/>
              <w:rPr>
                <w:rFonts w:ascii="仿宋" w:hAnsi="仿宋" w:eastAsia="仿宋" w:cs="仿宋"/>
                <w:bCs/>
                <w:kern w:val="0"/>
                <w:sz w:val="24"/>
              </w:rPr>
            </w:pPr>
            <w:r>
              <w:rPr>
                <w:rFonts w:hint="eastAsia" w:ascii="仿宋" w:hAnsi="仿宋" w:eastAsia="仿宋" w:cs="仿宋"/>
                <w:bCs/>
                <w:kern w:val="0"/>
                <w:sz w:val="24"/>
              </w:rPr>
              <w:t>违约责任：详见合同条款</w:t>
            </w:r>
            <w:r>
              <w:rPr>
                <w:rFonts w:hint="eastAsia" w:ascii="仿宋" w:hAnsi="仿宋" w:eastAsia="仿宋" w:cs="仿宋"/>
                <w:bCs/>
                <w:kern w:val="0"/>
                <w:sz w:val="24"/>
                <w:lang w:val="en-US" w:eastAsia="zh-CN"/>
              </w:rPr>
              <w:t>九</w:t>
            </w:r>
            <w:r>
              <w:rPr>
                <w:rFonts w:hint="eastAsia" w:ascii="仿宋" w:hAnsi="仿宋" w:eastAsia="仿宋" w:cs="仿宋"/>
                <w:bCs/>
                <w:kern w:val="0"/>
                <w:sz w:val="24"/>
              </w:rPr>
              <w:t>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2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3.1</w:t>
            </w:r>
            <w:r>
              <w:rPr>
                <w:rFonts w:hint="eastAsia" w:ascii="仿宋" w:hAnsi="仿宋" w:eastAsia="仿宋" w:cs="仿宋"/>
                <w:sz w:val="24"/>
                <w:lang w:val="en-US" w:eastAsia="zh-CN"/>
              </w:rPr>
              <w:t>4</w:t>
            </w:r>
          </w:p>
        </w:tc>
        <w:tc>
          <w:tcPr>
            <w:tcW w:w="7837" w:type="dxa"/>
            <w:vAlign w:val="center"/>
          </w:tcPr>
          <w:p>
            <w:pPr>
              <w:spacing w:line="360" w:lineRule="auto"/>
              <w:jc w:val="left"/>
              <w:rPr>
                <w:rFonts w:ascii="仿宋" w:hAnsi="仿宋" w:eastAsia="仿宋" w:cs="仿宋"/>
                <w:bCs/>
                <w:kern w:val="0"/>
                <w:sz w:val="24"/>
              </w:rPr>
            </w:pPr>
            <w:r>
              <w:rPr>
                <w:rFonts w:hint="eastAsia" w:ascii="仿宋" w:hAnsi="仿宋" w:eastAsia="仿宋" w:cs="仿宋"/>
                <w:sz w:val="24"/>
              </w:rPr>
              <w:t>签字和（或）盖章</w:t>
            </w:r>
            <w:r>
              <w:rPr>
                <w:rFonts w:hint="eastAsia" w:ascii="仿宋" w:hAnsi="仿宋" w:eastAsia="仿宋" w:cs="仿宋"/>
                <w:bCs/>
                <w:kern w:val="0"/>
                <w:sz w:val="24"/>
              </w:rPr>
              <w:t>要求：按“第五章、投标文件格式”在相应格式处按要求亲笔签字或盖章以及在相应格式处加盖公章；</w:t>
            </w:r>
            <w:r>
              <w:rPr>
                <w:rFonts w:ascii="仿宋" w:hAnsi="仿宋" w:eastAsia="仿宋" w:cs="仿宋"/>
                <w:bCs/>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2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3.1</w:t>
            </w:r>
            <w:r>
              <w:rPr>
                <w:rFonts w:hint="eastAsia" w:ascii="仿宋" w:hAnsi="仿宋" w:eastAsia="仿宋" w:cs="仿宋"/>
                <w:sz w:val="24"/>
                <w:lang w:val="en-US" w:eastAsia="zh-CN"/>
              </w:rPr>
              <w:t>5</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装订要求：</w:t>
            </w:r>
            <w:r>
              <w:rPr>
                <w:rFonts w:hint="eastAsia" w:ascii="仿宋" w:hAnsi="仿宋" w:eastAsia="仿宋" w:cs="仿宋"/>
                <w:bCs/>
                <w:sz w:val="24"/>
              </w:rPr>
              <w:t>编排页码并无线胶装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2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3.1</w:t>
            </w:r>
            <w:r>
              <w:rPr>
                <w:rFonts w:hint="eastAsia" w:ascii="仿宋" w:hAnsi="仿宋" w:eastAsia="仿宋" w:cs="仿宋"/>
                <w:sz w:val="24"/>
                <w:lang w:val="en-US" w:eastAsia="zh-CN"/>
              </w:rPr>
              <w:t>6</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封套上写明内容见</w:t>
            </w:r>
            <w:r>
              <w:rPr>
                <w:rFonts w:hint="eastAsia" w:ascii="仿宋" w:hAnsi="仿宋" w:eastAsia="仿宋" w:cs="仿宋"/>
                <w:bCs/>
                <w:sz w:val="24"/>
              </w:rPr>
              <w:t>投标文件密封要求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22" w:hRule="atLeast"/>
          <w:jc w:val="center"/>
        </w:trPr>
        <w:tc>
          <w:tcPr>
            <w:tcW w:w="1193" w:type="dxa"/>
            <w:vAlign w:val="center"/>
          </w:tcPr>
          <w:p>
            <w:pPr>
              <w:spacing w:line="360" w:lineRule="auto"/>
              <w:jc w:val="center"/>
              <w:rPr>
                <w:rFonts w:hint="default" w:ascii="仿宋" w:hAnsi="仿宋" w:eastAsia="仿宋" w:cs="仿宋"/>
                <w:sz w:val="24"/>
                <w:lang w:val="en-US" w:eastAsia="zh-CN"/>
              </w:rPr>
            </w:pPr>
            <w:r>
              <w:rPr>
                <w:rFonts w:hint="eastAsia" w:ascii="仿宋" w:hAnsi="仿宋" w:eastAsia="仿宋" w:cs="仿宋"/>
                <w:sz w:val="24"/>
              </w:rPr>
              <w:t>3.</w:t>
            </w:r>
            <w:r>
              <w:rPr>
                <w:rFonts w:hint="eastAsia" w:ascii="仿宋" w:hAnsi="仿宋" w:eastAsia="仿宋" w:cs="仿宋"/>
                <w:sz w:val="24"/>
                <w:lang w:val="en-US" w:eastAsia="zh-CN"/>
              </w:rPr>
              <w:t>17</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1.投标文件（请按照招标文件第五章的要求进行填写并单独装订成册密封）：</w:t>
            </w:r>
          </w:p>
          <w:p>
            <w:pPr>
              <w:spacing w:line="360" w:lineRule="auto"/>
              <w:jc w:val="left"/>
              <w:rPr>
                <w:rFonts w:ascii="仿宋" w:hAnsi="仿宋" w:eastAsia="仿宋" w:cs="仿宋"/>
                <w:sz w:val="24"/>
              </w:rPr>
            </w:pPr>
            <w:r>
              <w:rPr>
                <w:rFonts w:hint="eastAsia" w:ascii="仿宋" w:hAnsi="仿宋" w:eastAsia="仿宋" w:cs="仿宋"/>
                <w:sz w:val="24"/>
              </w:rPr>
              <w:t>正本1份、副本4份、电子文档1份（U盘，单独密封）电子文档为投标文件的 WORD 版和PDF版（PDF版是投标文件的正本盖章后的扫描件）。</w:t>
            </w:r>
          </w:p>
          <w:p>
            <w:pPr>
              <w:spacing w:line="360" w:lineRule="auto"/>
              <w:jc w:val="left"/>
              <w:rPr>
                <w:rFonts w:ascii="仿宋" w:hAnsi="仿宋" w:eastAsia="仿宋" w:cs="仿宋"/>
                <w:sz w:val="24"/>
              </w:rPr>
            </w:pPr>
            <w:r>
              <w:rPr>
                <w:rFonts w:hint="eastAsia" w:ascii="仿宋" w:hAnsi="仿宋" w:eastAsia="仿宋" w:cs="仿宋"/>
                <w:sz w:val="24"/>
              </w:rPr>
              <w:t>注：副本应是正本清晰的复印件。投标文件应尽量采用单面打印或印刷。</w:t>
            </w:r>
          </w:p>
          <w:p>
            <w:pPr>
              <w:spacing w:line="360" w:lineRule="auto"/>
              <w:jc w:val="left"/>
              <w:rPr>
                <w:rFonts w:ascii="仿宋" w:hAnsi="仿宋" w:eastAsia="仿宋" w:cs="仿宋"/>
                <w:sz w:val="24"/>
              </w:rPr>
            </w:pPr>
            <w:r>
              <w:rPr>
                <w:rFonts w:hint="eastAsia" w:ascii="仿宋" w:hAnsi="仿宋" w:eastAsia="仿宋" w:cs="仿宋"/>
                <w:sz w:val="24"/>
              </w:rPr>
              <w:t>电子文档需单独密封，在递交投标文件时单独提交给采购</w:t>
            </w:r>
            <w:r>
              <w:rPr>
                <w:rFonts w:hint="eastAsia" w:ascii="仿宋" w:hAnsi="仿宋" w:eastAsia="仿宋" w:cs="仿宋"/>
                <w:sz w:val="24"/>
                <w:lang w:val="en-US" w:eastAsia="zh-CN"/>
              </w:rPr>
              <w:t>人</w:t>
            </w:r>
            <w:r>
              <w:rPr>
                <w:rFonts w:hint="eastAsia" w:ascii="仿宋" w:hAnsi="仿宋" w:eastAsia="仿宋" w:cs="仿宋"/>
                <w:sz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98" w:hRule="atLeast"/>
          <w:jc w:val="center"/>
        </w:trPr>
        <w:tc>
          <w:tcPr>
            <w:tcW w:w="9030" w:type="dxa"/>
            <w:gridSpan w:val="2"/>
            <w:vAlign w:val="center"/>
          </w:tcPr>
          <w:p>
            <w:pPr>
              <w:spacing w:line="360" w:lineRule="auto"/>
              <w:jc w:val="center"/>
              <w:rPr>
                <w:rFonts w:ascii="仿宋" w:hAnsi="仿宋" w:eastAsia="仿宋" w:cs="仿宋"/>
                <w:sz w:val="24"/>
              </w:rPr>
            </w:pPr>
            <w:r>
              <w:rPr>
                <w:rFonts w:hint="eastAsia" w:ascii="仿宋" w:hAnsi="仿宋" w:eastAsia="仿宋" w:cs="仿宋"/>
                <w:bCs/>
                <w:sz w:val="24"/>
              </w:rPr>
              <w:t>评   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576" w:hRule="atLeast"/>
          <w:jc w:val="center"/>
        </w:trPr>
        <w:tc>
          <w:tcPr>
            <w:tcW w:w="1193" w:type="dxa"/>
            <w:vAlign w:val="center"/>
          </w:tcPr>
          <w:p>
            <w:pPr>
              <w:spacing w:line="360" w:lineRule="auto"/>
              <w:jc w:val="center"/>
              <w:rPr>
                <w:rFonts w:ascii="仿宋" w:hAnsi="仿宋" w:eastAsia="仿宋" w:cs="仿宋"/>
                <w:sz w:val="24"/>
              </w:rPr>
            </w:pPr>
            <w:r>
              <w:rPr>
                <w:rFonts w:hint="eastAsia" w:ascii="仿宋" w:hAnsi="仿宋" w:eastAsia="仿宋" w:cs="仿宋"/>
                <w:sz w:val="24"/>
              </w:rPr>
              <w:t>4.1</w:t>
            </w:r>
          </w:p>
        </w:tc>
        <w:tc>
          <w:tcPr>
            <w:tcW w:w="7837" w:type="dxa"/>
            <w:vAlign w:val="center"/>
          </w:tcPr>
          <w:p>
            <w:pPr>
              <w:spacing w:line="360" w:lineRule="auto"/>
              <w:rPr>
                <w:rFonts w:ascii="仿宋" w:hAnsi="仿宋" w:eastAsia="仿宋" w:cs="仿宋"/>
                <w:sz w:val="24"/>
              </w:rPr>
            </w:pPr>
            <w:r>
              <w:rPr>
                <w:rFonts w:hint="eastAsia" w:ascii="仿宋" w:hAnsi="仿宋" w:eastAsia="仿宋" w:cs="仿宋"/>
                <w:sz w:val="24"/>
              </w:rPr>
              <w:t>评标方法：综合评分法（详见第五章）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970" w:hRule="atLeast"/>
          <w:jc w:val="center"/>
        </w:trPr>
        <w:tc>
          <w:tcPr>
            <w:tcW w:w="1193" w:type="dxa"/>
            <w:vAlign w:val="center"/>
          </w:tcPr>
          <w:p>
            <w:pPr>
              <w:spacing w:line="360" w:lineRule="auto"/>
              <w:jc w:val="center"/>
              <w:rPr>
                <w:rFonts w:ascii="仿宋" w:hAnsi="仿宋" w:eastAsia="仿宋" w:cs="仿宋"/>
                <w:sz w:val="24"/>
              </w:rPr>
            </w:pPr>
            <w:r>
              <w:rPr>
                <w:rFonts w:hint="eastAsia" w:ascii="仿宋" w:hAnsi="仿宋" w:eastAsia="仿宋" w:cs="仿宋"/>
                <w:sz w:val="24"/>
              </w:rPr>
              <w:t>4.2</w:t>
            </w:r>
          </w:p>
        </w:tc>
        <w:tc>
          <w:tcPr>
            <w:tcW w:w="7837" w:type="dxa"/>
            <w:vAlign w:val="center"/>
          </w:tcPr>
          <w:p>
            <w:pPr>
              <w:widowControl/>
              <w:ind w:right="57"/>
              <w:rPr>
                <w:rFonts w:ascii="仿宋" w:hAnsi="仿宋" w:eastAsia="仿宋" w:cs="仿宋"/>
                <w:bCs/>
                <w:kern w:val="0"/>
                <w:sz w:val="24"/>
              </w:rPr>
            </w:pPr>
            <w:r>
              <w:rPr>
                <w:rFonts w:hint="eastAsia" w:ascii="仿宋" w:hAnsi="仿宋" w:eastAsia="仿宋" w:cs="仿宋"/>
                <w:bCs/>
                <w:kern w:val="0"/>
                <w:sz w:val="24"/>
              </w:rPr>
              <w:t>评标委员会的组建：评标委员会人数： 5 人。</w:t>
            </w:r>
          </w:p>
          <w:p>
            <w:pPr>
              <w:widowControl/>
              <w:ind w:right="57"/>
              <w:rPr>
                <w:rFonts w:ascii="仿宋" w:hAnsi="仿宋" w:eastAsia="仿宋" w:cs="仿宋"/>
                <w:bCs/>
                <w:kern w:val="0"/>
                <w:sz w:val="24"/>
              </w:rPr>
            </w:pPr>
            <w:r>
              <w:rPr>
                <w:rFonts w:hint="eastAsia" w:ascii="仿宋" w:hAnsi="仿宋" w:eastAsia="仿宋" w:cs="仿宋"/>
                <w:bCs/>
                <w:kern w:val="0"/>
                <w:sz w:val="24"/>
              </w:rPr>
              <w:t>评标确定方式：</w:t>
            </w:r>
            <w:r>
              <w:rPr>
                <w:rFonts w:hint="eastAsia" w:ascii="仿宋" w:hAnsi="仿宋" w:eastAsia="仿宋" w:cs="仿宋"/>
                <w:bCs/>
                <w:kern w:val="0"/>
                <w:sz w:val="24"/>
                <w:lang w:val="en-US" w:eastAsia="zh-CN"/>
              </w:rPr>
              <w:t>医院内部</w:t>
            </w:r>
            <w:r>
              <w:rPr>
                <w:rFonts w:hint="eastAsia" w:ascii="仿宋" w:hAnsi="仿宋" w:eastAsia="仿宋" w:cs="仿宋"/>
                <w:bCs/>
                <w:kern w:val="0"/>
                <w:sz w:val="24"/>
              </w:rPr>
              <w:t>抽取。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576" w:hRule="atLeast"/>
          <w:jc w:val="center"/>
        </w:trPr>
        <w:tc>
          <w:tcPr>
            <w:tcW w:w="1193" w:type="dxa"/>
            <w:vAlign w:val="center"/>
          </w:tcPr>
          <w:p>
            <w:pPr>
              <w:spacing w:line="360" w:lineRule="auto"/>
              <w:jc w:val="center"/>
              <w:rPr>
                <w:rFonts w:ascii="仿宋" w:hAnsi="仿宋" w:eastAsia="仿宋" w:cs="仿宋"/>
                <w:sz w:val="24"/>
              </w:rPr>
            </w:pPr>
            <w:r>
              <w:rPr>
                <w:rFonts w:hint="eastAsia" w:ascii="仿宋" w:hAnsi="仿宋" w:eastAsia="仿宋" w:cs="仿宋"/>
                <w:sz w:val="24"/>
              </w:rPr>
              <w:t>4.3</w:t>
            </w:r>
          </w:p>
        </w:tc>
        <w:tc>
          <w:tcPr>
            <w:tcW w:w="7837" w:type="dxa"/>
            <w:vAlign w:val="center"/>
          </w:tcPr>
          <w:p>
            <w:pPr>
              <w:spacing w:line="288" w:lineRule="auto"/>
              <w:rPr>
                <w:rFonts w:ascii="仿宋" w:hAnsi="仿宋" w:eastAsia="仿宋" w:cs="仿宋"/>
                <w:sz w:val="24"/>
              </w:rPr>
            </w:pPr>
            <w:r>
              <w:rPr>
                <w:rFonts w:hint="eastAsia" w:ascii="仿宋" w:hAnsi="仿宋" w:eastAsia="仿宋" w:cs="仿宋"/>
                <w:sz w:val="24"/>
              </w:rPr>
              <w:t>开标程序：</w:t>
            </w:r>
          </w:p>
          <w:p>
            <w:pPr>
              <w:spacing w:line="288" w:lineRule="auto"/>
              <w:rPr>
                <w:rFonts w:ascii="仿宋" w:hAnsi="仿宋" w:eastAsia="仿宋" w:cs="仿宋"/>
                <w:sz w:val="24"/>
              </w:rPr>
            </w:pPr>
            <w:r>
              <w:rPr>
                <w:rFonts w:hint="eastAsia" w:ascii="仿宋" w:hAnsi="仿宋" w:eastAsia="仿宋" w:cs="仿宋"/>
                <w:sz w:val="24"/>
              </w:rPr>
              <w:t>（1）密封情况检查</w:t>
            </w:r>
          </w:p>
          <w:p>
            <w:pPr>
              <w:widowControl/>
              <w:ind w:right="57"/>
              <w:jc w:val="left"/>
              <w:rPr>
                <w:rFonts w:ascii="仿宋" w:hAnsi="仿宋" w:eastAsia="仿宋" w:cs="仿宋"/>
                <w:bCs/>
                <w:kern w:val="0"/>
                <w:sz w:val="24"/>
              </w:rPr>
            </w:pPr>
            <w:r>
              <w:rPr>
                <w:rFonts w:hint="eastAsia" w:ascii="仿宋" w:hAnsi="仿宋" w:eastAsia="仿宋" w:cs="仿宋"/>
                <w:sz w:val="24"/>
              </w:rPr>
              <w:t>（2）开标顺序：按投标文件递交先后顺序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317" w:hRule="atLeast"/>
          <w:jc w:val="center"/>
        </w:trPr>
        <w:tc>
          <w:tcPr>
            <w:tcW w:w="9030" w:type="dxa"/>
            <w:gridSpan w:val="2"/>
            <w:vAlign w:val="center"/>
          </w:tcPr>
          <w:p>
            <w:pPr>
              <w:spacing w:line="360" w:lineRule="auto"/>
              <w:jc w:val="center"/>
              <w:rPr>
                <w:rFonts w:ascii="仿宋" w:hAnsi="仿宋" w:eastAsia="仿宋" w:cs="仿宋"/>
                <w:b/>
                <w:sz w:val="24"/>
              </w:rPr>
            </w:pPr>
            <w:r>
              <w:rPr>
                <w:rFonts w:hint="eastAsia" w:ascii="仿宋" w:hAnsi="仿宋" w:eastAsia="仿宋" w:cs="仿宋"/>
                <w:bCs/>
                <w:sz w:val="24"/>
              </w:rPr>
              <w:t>其他内容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70" w:hRule="atLeast"/>
          <w:jc w:val="center"/>
        </w:trPr>
        <w:tc>
          <w:tcPr>
            <w:tcW w:w="1193" w:type="dxa"/>
            <w:vAlign w:val="center"/>
          </w:tcPr>
          <w:p>
            <w:pPr>
              <w:spacing w:line="360" w:lineRule="auto"/>
              <w:jc w:val="center"/>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.1</w:t>
            </w:r>
          </w:p>
        </w:tc>
        <w:tc>
          <w:tcPr>
            <w:tcW w:w="7837" w:type="dxa"/>
            <w:vAlign w:val="center"/>
          </w:tcPr>
          <w:p>
            <w:pPr>
              <w:spacing w:line="360" w:lineRule="exact"/>
              <w:jc w:val="left"/>
              <w:rPr>
                <w:rFonts w:ascii="仿宋" w:hAnsi="仿宋" w:eastAsia="仿宋" w:cs="仿宋"/>
                <w:sz w:val="24"/>
              </w:rPr>
            </w:pPr>
            <w:r>
              <w:rPr>
                <w:rFonts w:hint="eastAsia" w:ascii="仿宋" w:hAnsi="仿宋" w:eastAsia="仿宋" w:cs="仿宋"/>
                <w:sz w:val="24"/>
              </w:rPr>
              <w:t>投标文件没有响应招标文件以下要求的，按无效投标处理：</w:t>
            </w:r>
          </w:p>
          <w:p>
            <w:pPr>
              <w:spacing w:line="360" w:lineRule="exact"/>
              <w:jc w:val="left"/>
              <w:rPr>
                <w:rFonts w:ascii="仿宋" w:hAnsi="仿宋" w:eastAsia="仿宋" w:cs="仿宋"/>
                <w:sz w:val="24"/>
              </w:rPr>
            </w:pPr>
            <w:r>
              <w:rPr>
                <w:rFonts w:hint="eastAsia" w:ascii="仿宋" w:hAnsi="仿宋" w:eastAsia="仿宋" w:cs="仿宋"/>
                <w:sz w:val="24"/>
              </w:rPr>
              <w:t>1、不具备招标文件中规定资格要求的；</w:t>
            </w:r>
          </w:p>
          <w:p>
            <w:pPr>
              <w:spacing w:line="360" w:lineRule="exact"/>
              <w:jc w:val="left"/>
              <w:rPr>
                <w:rFonts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不符合法律、法规和招标文件中规定的其他实质性要求的；</w:t>
            </w:r>
          </w:p>
          <w:p>
            <w:pPr>
              <w:spacing w:line="360" w:lineRule="exact"/>
              <w:jc w:val="left"/>
              <w:rPr>
                <w:rFonts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、招标文件中规定的其它情形。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70" w:hRule="atLeast"/>
          <w:jc w:val="center"/>
        </w:trPr>
        <w:tc>
          <w:tcPr>
            <w:tcW w:w="1193" w:type="dxa"/>
            <w:vAlign w:val="center"/>
          </w:tcPr>
          <w:p>
            <w:pPr>
              <w:spacing w:line="360" w:lineRule="auto"/>
              <w:jc w:val="center"/>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.2</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付款方式、付款时间、条件：由采购人与中标人自行商议决定（具体以供货合同为准）。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70" w:hRule="atLeast"/>
          <w:jc w:val="center"/>
        </w:trPr>
        <w:tc>
          <w:tcPr>
            <w:tcW w:w="1193" w:type="dxa"/>
            <w:vAlign w:val="center"/>
          </w:tcPr>
          <w:p>
            <w:pPr>
              <w:spacing w:line="360" w:lineRule="auto"/>
              <w:jc w:val="center"/>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.3</w:t>
            </w:r>
          </w:p>
        </w:tc>
        <w:tc>
          <w:tcPr>
            <w:tcW w:w="7837" w:type="dxa"/>
            <w:vAlign w:val="center"/>
          </w:tcPr>
          <w:p>
            <w:pPr>
              <w:spacing w:line="240" w:lineRule="atLeast"/>
              <w:rPr>
                <w:rFonts w:ascii="仿宋" w:hAnsi="仿宋" w:eastAsia="仿宋" w:cs="仿宋"/>
                <w:sz w:val="24"/>
              </w:rPr>
            </w:pPr>
            <w:r>
              <w:rPr>
                <w:rFonts w:hint="eastAsia" w:ascii="仿宋" w:hAnsi="仿宋" w:eastAsia="仿宋" w:cs="仿宋"/>
                <w:sz w:val="24"/>
              </w:rPr>
              <w:t>中标结果公示媒介：</w:t>
            </w:r>
            <w:r>
              <w:rPr>
                <w:rFonts w:hint="eastAsia" w:ascii="仿宋" w:hAnsi="仿宋" w:eastAsia="仿宋" w:cs="仿宋"/>
                <w:sz w:val="24"/>
                <w:lang w:val="en-US" w:eastAsia="zh-CN"/>
              </w:rPr>
              <w:t>西藏康城肿瘤医院官</w:t>
            </w:r>
            <w:r>
              <w:rPr>
                <w:rFonts w:hint="eastAsia" w:ascii="仿宋" w:hAnsi="仿宋" w:eastAsia="仿宋" w:cs="仿宋"/>
                <w:sz w:val="24"/>
              </w:rPr>
              <w:t>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70" w:hRule="atLeast"/>
          <w:jc w:val="center"/>
        </w:trPr>
        <w:tc>
          <w:tcPr>
            <w:tcW w:w="1193"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lang w:val="en-US" w:eastAsia="zh-CN"/>
              </w:rPr>
              <w:t>6.4</w:t>
            </w:r>
          </w:p>
        </w:tc>
        <w:tc>
          <w:tcPr>
            <w:tcW w:w="7837" w:type="dxa"/>
            <w:vAlign w:val="center"/>
          </w:tcPr>
          <w:p>
            <w:pPr>
              <w:spacing w:line="360" w:lineRule="auto"/>
              <w:jc w:val="left"/>
              <w:rPr>
                <w:rFonts w:hint="eastAsia" w:ascii="仿宋" w:hAnsi="仿宋" w:eastAsia="仿宋" w:cs="仿宋"/>
                <w:color w:val="000000"/>
                <w:kern w:val="0"/>
                <w:sz w:val="24"/>
                <w:szCs w:val="24"/>
                <w:lang w:val="en-US" w:eastAsia="zh-CN" w:bidi="ar-SA"/>
              </w:rPr>
            </w:pPr>
            <w:r>
              <w:rPr>
                <w:rFonts w:hint="eastAsia"/>
              </w:rPr>
              <w:t>需</w:t>
            </w:r>
            <w:r>
              <w:rPr>
                <w:rFonts w:hint="eastAsia" w:ascii="仿宋" w:hAnsi="仿宋" w:eastAsia="仿宋" w:cs="仿宋"/>
                <w:color w:val="000000"/>
                <w:kern w:val="0"/>
                <w:sz w:val="24"/>
                <w:szCs w:val="24"/>
                <w:lang w:val="en-US" w:eastAsia="zh-CN" w:bidi="ar-SA"/>
              </w:rPr>
              <w:t>要补充的其他内容：</w:t>
            </w:r>
          </w:p>
          <w:p>
            <w:pPr>
              <w:spacing w:line="360" w:lineRule="auto"/>
              <w:jc w:val="left"/>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1、本次采购所涉及的货物及服务，投标人投标报价里应包含货物费用、服务费用</w:t>
            </w:r>
            <w:r>
              <w:rPr>
                <w:rFonts w:hint="eastAsia" w:ascii="仿宋" w:hAnsi="仿宋" w:eastAsia="仿宋" w:cs="仿宋"/>
                <w:color w:val="000000"/>
                <w:kern w:val="0"/>
                <w:sz w:val="24"/>
                <w:szCs w:val="24"/>
                <w:lang w:val="zh-CN" w:eastAsia="zh-CN" w:bidi="ar-SA"/>
              </w:rPr>
              <w:t>、管理费用等以及其他不可预见</w:t>
            </w:r>
            <w:r>
              <w:rPr>
                <w:rFonts w:hint="eastAsia" w:ascii="仿宋" w:hAnsi="仿宋" w:eastAsia="仿宋" w:cs="仿宋"/>
                <w:color w:val="000000"/>
                <w:kern w:val="0"/>
                <w:sz w:val="24"/>
                <w:szCs w:val="24"/>
                <w:lang w:val="en-US" w:eastAsia="zh-CN" w:bidi="ar-SA"/>
              </w:rPr>
              <w:t>费用。供货地点为采购人指定地点，投标人在报价时需考虑以上各项因素。</w:t>
            </w:r>
          </w:p>
          <w:p>
            <w:pPr>
              <w:spacing w:line="360" w:lineRule="auto"/>
              <w:jc w:val="left"/>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2、中标单位需在中标通知书发出的3个工作日内与业主单位联系，沟通签订合同及其他前期事宜。</w:t>
            </w:r>
          </w:p>
          <w:p>
            <w:pPr>
              <w:pStyle w:val="2"/>
              <w:rPr>
                <w:rFonts w:hint="default" w:eastAsia="仿宋"/>
                <w:lang w:val="en-US" w:eastAsia="zh-CN"/>
              </w:rPr>
            </w:pPr>
            <w:r>
              <w:rPr>
                <w:rFonts w:hint="eastAsia" w:ascii="仿宋" w:hAnsi="仿宋" w:eastAsia="仿宋" w:cs="仿宋"/>
                <w:sz w:val="24"/>
                <w:lang w:val="en-US" w:eastAsia="zh-CN"/>
              </w:rPr>
              <w:t>3、本次招标采购清单以及报清单以内的同类产品（同类产品有多少厂家的均可以投标）。</w:t>
            </w:r>
          </w:p>
        </w:tc>
      </w:tr>
    </w:tbl>
    <w:p>
      <w:pPr>
        <w:pStyle w:val="3"/>
        <w:jc w:val="center"/>
      </w:pPr>
      <w:bookmarkStart w:id="32" w:name="_Toc12825"/>
      <w:bookmarkStart w:id="33" w:name="_Toc88466027"/>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jc w:val="center"/>
      </w:pPr>
      <w:bookmarkStart w:id="34" w:name="_Toc87205232"/>
      <w:r>
        <w:rPr>
          <w:rFonts w:hint="eastAsia"/>
        </w:rPr>
        <w:t>第三章 投标人须知</w:t>
      </w:r>
      <w:bookmarkEnd w:id="32"/>
      <w:bookmarkEnd w:id="33"/>
      <w:bookmarkEnd w:id="34"/>
      <w:bookmarkStart w:id="35" w:name="_Toc47416185"/>
      <w:bookmarkStart w:id="36" w:name="_Toc49019485"/>
      <w:bookmarkStart w:id="37" w:name="_Toc47415931"/>
      <w:bookmarkStart w:id="38" w:name="_Toc49019224"/>
    </w:p>
    <w:bookmarkEnd w:id="35"/>
    <w:bookmarkEnd w:id="36"/>
    <w:bookmarkEnd w:id="37"/>
    <w:bookmarkEnd w:id="38"/>
    <w:p>
      <w:pPr>
        <w:tabs>
          <w:tab w:val="left" w:pos="525"/>
          <w:tab w:val="left" w:pos="705"/>
        </w:tabs>
        <w:adjustRightInd w:val="0"/>
        <w:spacing w:line="360" w:lineRule="auto"/>
        <w:jc w:val="center"/>
        <w:outlineLvl w:val="2"/>
        <w:rPr>
          <w:rFonts w:ascii="仿宋" w:hAnsi="仿宋" w:eastAsia="仿宋" w:cs="仿宋"/>
          <w:b/>
          <w:sz w:val="24"/>
        </w:rPr>
      </w:pPr>
      <w:bookmarkStart w:id="39" w:name="_Toc47364300"/>
      <w:bookmarkStart w:id="40" w:name="_Toc87205233"/>
      <w:bookmarkStart w:id="41" w:name="_Toc47415932"/>
      <w:bookmarkStart w:id="42" w:name="_Toc49019486"/>
      <w:bookmarkStart w:id="43" w:name="_Toc49019225"/>
      <w:bookmarkStart w:id="44" w:name="_Toc47416186"/>
      <w:r>
        <w:rPr>
          <w:rFonts w:hint="eastAsia" w:ascii="仿宋" w:hAnsi="仿宋" w:eastAsia="仿宋" w:cs="仿宋"/>
          <w:b/>
          <w:sz w:val="24"/>
        </w:rPr>
        <w:t>一、总则</w:t>
      </w:r>
      <w:bookmarkEnd w:id="39"/>
      <w:bookmarkEnd w:id="40"/>
    </w:p>
    <w:p>
      <w:pPr>
        <w:tabs>
          <w:tab w:val="left" w:pos="525"/>
          <w:tab w:val="left" w:pos="705"/>
        </w:tabs>
        <w:adjustRightInd w:val="0"/>
        <w:spacing w:line="360" w:lineRule="auto"/>
        <w:outlineLvl w:val="2"/>
        <w:rPr>
          <w:rFonts w:ascii="仿宋" w:hAnsi="仿宋" w:eastAsia="仿宋" w:cs="仿宋"/>
          <w:b/>
          <w:sz w:val="24"/>
        </w:rPr>
      </w:pPr>
      <w:bookmarkStart w:id="45" w:name="_Toc87205234"/>
      <w:bookmarkStart w:id="46" w:name="_Toc47364301"/>
      <w:r>
        <w:rPr>
          <w:rFonts w:hint="eastAsia" w:ascii="仿宋" w:hAnsi="仿宋" w:eastAsia="仿宋" w:cs="仿宋"/>
          <w:b/>
          <w:sz w:val="24"/>
        </w:rPr>
        <w:t>1.适用范围及编制依据</w:t>
      </w:r>
      <w:bookmarkEnd w:id="45"/>
      <w:bookmarkEnd w:id="46"/>
    </w:p>
    <w:p>
      <w:pPr>
        <w:adjustRightInd w:val="0"/>
        <w:spacing w:line="360" w:lineRule="auto"/>
        <w:rPr>
          <w:rFonts w:ascii="仿宋" w:hAnsi="仿宋" w:eastAsia="仿宋" w:cs="仿宋"/>
          <w:sz w:val="24"/>
        </w:rPr>
      </w:pPr>
      <w:r>
        <w:rPr>
          <w:rFonts w:hint="eastAsia" w:ascii="仿宋" w:hAnsi="仿宋" w:eastAsia="仿宋" w:cs="仿宋"/>
          <w:sz w:val="24"/>
        </w:rPr>
        <w:t>1.1 本招标文件仅适用于本项目投标邀请中所叙述的招标项目。</w:t>
      </w:r>
    </w:p>
    <w:p>
      <w:pPr>
        <w:tabs>
          <w:tab w:val="left" w:pos="525"/>
          <w:tab w:val="left" w:pos="705"/>
        </w:tabs>
        <w:adjustRightInd w:val="0"/>
        <w:spacing w:line="360" w:lineRule="auto"/>
        <w:outlineLvl w:val="2"/>
        <w:rPr>
          <w:rFonts w:ascii="仿宋" w:hAnsi="仿宋" w:eastAsia="仿宋" w:cs="仿宋"/>
          <w:b/>
          <w:sz w:val="24"/>
        </w:rPr>
      </w:pPr>
      <w:bookmarkStart w:id="47" w:name="_Toc47364302"/>
      <w:bookmarkStart w:id="48" w:name="_Toc87205235"/>
      <w:r>
        <w:rPr>
          <w:rFonts w:hint="eastAsia" w:ascii="仿宋" w:hAnsi="仿宋" w:eastAsia="仿宋" w:cs="仿宋"/>
          <w:b/>
          <w:sz w:val="24"/>
        </w:rPr>
        <w:t>2.定义</w:t>
      </w:r>
      <w:bookmarkEnd w:id="47"/>
      <w:bookmarkEnd w:id="48"/>
    </w:p>
    <w:p>
      <w:pPr>
        <w:adjustRightInd w:val="0"/>
        <w:spacing w:line="360" w:lineRule="auto"/>
        <w:rPr>
          <w:rFonts w:ascii="仿宋" w:hAnsi="仿宋" w:eastAsia="仿宋" w:cs="仿宋"/>
          <w:sz w:val="24"/>
        </w:rPr>
      </w:pPr>
      <w:r>
        <w:rPr>
          <w:rFonts w:hint="eastAsia" w:ascii="仿宋" w:hAnsi="仿宋" w:eastAsia="仿宋" w:cs="仿宋"/>
          <w:sz w:val="24"/>
        </w:rPr>
        <w:t>2.1 “采购人”指本项目的单位。</w:t>
      </w:r>
    </w:p>
    <w:p>
      <w:pPr>
        <w:adjustRightInd w:val="0"/>
        <w:spacing w:line="360" w:lineRule="auto"/>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 xml:space="preserve">2 </w:t>
      </w:r>
      <w:r>
        <w:rPr>
          <w:rFonts w:hint="eastAsia" w:ascii="仿宋" w:hAnsi="仿宋" w:eastAsia="仿宋" w:cs="仿宋"/>
          <w:sz w:val="24"/>
        </w:rPr>
        <w:t>“日”指日历天。</w:t>
      </w:r>
    </w:p>
    <w:p>
      <w:pPr>
        <w:tabs>
          <w:tab w:val="left" w:pos="525"/>
          <w:tab w:val="left" w:pos="705"/>
        </w:tabs>
        <w:adjustRightInd w:val="0"/>
        <w:spacing w:line="360" w:lineRule="auto"/>
        <w:outlineLvl w:val="2"/>
        <w:rPr>
          <w:rFonts w:ascii="仿宋" w:hAnsi="仿宋" w:eastAsia="仿宋" w:cs="仿宋"/>
          <w:b/>
          <w:sz w:val="24"/>
        </w:rPr>
      </w:pPr>
      <w:bookmarkStart w:id="49" w:name="_Toc47364303"/>
      <w:bookmarkStart w:id="50" w:name="_Toc87205236"/>
      <w:r>
        <w:rPr>
          <w:rFonts w:hint="eastAsia" w:ascii="仿宋" w:hAnsi="仿宋" w:eastAsia="仿宋" w:cs="仿宋"/>
          <w:b/>
          <w:sz w:val="24"/>
        </w:rPr>
        <w:t>3.投标费用</w:t>
      </w:r>
      <w:bookmarkEnd w:id="49"/>
      <w:bookmarkEnd w:id="50"/>
    </w:p>
    <w:p>
      <w:pPr>
        <w:pStyle w:val="14"/>
        <w:adjustRightInd w:val="0"/>
        <w:spacing w:after="0" w:line="360" w:lineRule="auto"/>
        <w:ind w:left="0" w:leftChars="0"/>
        <w:rPr>
          <w:rFonts w:ascii="仿宋" w:hAnsi="仿宋" w:eastAsia="仿宋" w:cs="仿宋"/>
          <w:sz w:val="24"/>
        </w:rPr>
      </w:pPr>
      <w:r>
        <w:rPr>
          <w:rFonts w:hint="eastAsia" w:ascii="仿宋" w:hAnsi="仿宋" w:eastAsia="仿宋" w:cs="仿宋"/>
          <w:sz w:val="24"/>
        </w:rPr>
        <w:t>投标人应承担所有与本次投标有关的费用，不论投标的结果如何，招标方在任何情况下均无义务和责任承担这些费用。</w:t>
      </w:r>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二、招标文件说明</w:t>
      </w:r>
    </w:p>
    <w:p>
      <w:pPr>
        <w:tabs>
          <w:tab w:val="left" w:pos="525"/>
          <w:tab w:val="left" w:pos="705"/>
        </w:tabs>
        <w:adjustRightInd w:val="0"/>
        <w:spacing w:line="360" w:lineRule="auto"/>
        <w:outlineLvl w:val="2"/>
        <w:rPr>
          <w:rFonts w:ascii="仿宋" w:hAnsi="仿宋" w:eastAsia="仿宋" w:cs="仿宋"/>
          <w:b/>
          <w:sz w:val="24"/>
        </w:rPr>
      </w:pPr>
      <w:bookmarkStart w:id="51" w:name="_Toc47364304"/>
      <w:bookmarkStart w:id="52" w:name="_Toc87205237"/>
      <w:r>
        <w:rPr>
          <w:rFonts w:hint="eastAsia" w:ascii="仿宋" w:hAnsi="仿宋" w:eastAsia="仿宋" w:cs="仿宋"/>
          <w:b/>
          <w:sz w:val="24"/>
        </w:rPr>
        <w:t>4.招标文件的法律效力</w:t>
      </w:r>
      <w:bookmarkEnd w:id="51"/>
      <w:bookmarkEnd w:id="52"/>
    </w:p>
    <w:p>
      <w:pPr>
        <w:adjustRightInd w:val="0"/>
        <w:spacing w:line="360" w:lineRule="auto"/>
        <w:rPr>
          <w:rFonts w:ascii="仿宋" w:hAnsi="仿宋" w:eastAsia="仿宋" w:cs="仿宋"/>
          <w:sz w:val="24"/>
          <w:highlight w:val="yellow"/>
        </w:rPr>
      </w:pPr>
      <w:r>
        <w:rPr>
          <w:rFonts w:hint="eastAsia" w:ascii="仿宋" w:hAnsi="仿宋" w:eastAsia="仿宋" w:cs="仿宋"/>
          <w:sz w:val="24"/>
        </w:rPr>
        <w:t>本招标文件阐明了投标人所需提供的货物及服务的范围和招标投标的程序，是本次招标活动具有法律效力的文件。投标人应认真阅读招标文件中所有的事项、格式条款和规范等要求，否则，出现的相关不利后果，由投标人自行承担相关风险。</w:t>
      </w:r>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三、投标文件编写</w:t>
      </w:r>
    </w:p>
    <w:p>
      <w:pPr>
        <w:adjustRightInd w:val="0"/>
        <w:spacing w:line="360" w:lineRule="auto"/>
        <w:rPr>
          <w:rFonts w:ascii="仿宋" w:hAnsi="仿宋" w:eastAsia="仿宋" w:cs="仿宋"/>
          <w:b/>
          <w:sz w:val="24"/>
        </w:rPr>
      </w:pPr>
      <w:r>
        <w:rPr>
          <w:rFonts w:hint="eastAsia" w:ascii="仿宋" w:hAnsi="仿宋" w:eastAsia="仿宋" w:cs="仿宋"/>
          <w:b/>
          <w:sz w:val="24"/>
          <w:lang w:val="en-US" w:eastAsia="zh-CN"/>
        </w:rPr>
        <w:t>5</w:t>
      </w:r>
      <w:r>
        <w:rPr>
          <w:rFonts w:hint="eastAsia" w:ascii="仿宋" w:hAnsi="仿宋" w:eastAsia="仿宋" w:cs="仿宋"/>
          <w:b/>
          <w:sz w:val="24"/>
        </w:rPr>
        <w:t>.投标文件的语言</w:t>
      </w:r>
    </w:p>
    <w:p>
      <w:pPr>
        <w:adjustRightInd w:val="0"/>
        <w:spacing w:line="360" w:lineRule="auto"/>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.1 投标人提交的投标文件以及投标人与招标采购单位就有关投标的所有来往书面文件均须使用中文。投标文件中如附有外文资料，必须逐一对应翻译成中文并加盖投标人公章后附在相关外文资料后面，否则，投标人的投标文件将作为无效投标处理。</w:t>
      </w:r>
    </w:p>
    <w:p>
      <w:pPr>
        <w:adjustRightInd w:val="0"/>
        <w:spacing w:line="360" w:lineRule="auto"/>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.2 翻译的中文资料与外文资料如果出现差异和矛盾时，以中文为准。但不能故意错误翻译，否则，投标人的投标文件将作为无效投标处理。</w:t>
      </w:r>
    </w:p>
    <w:p>
      <w:pPr>
        <w:tabs>
          <w:tab w:val="left" w:pos="525"/>
          <w:tab w:val="left" w:pos="705"/>
        </w:tabs>
        <w:adjustRightInd w:val="0"/>
        <w:spacing w:line="360" w:lineRule="auto"/>
        <w:outlineLvl w:val="2"/>
        <w:rPr>
          <w:rFonts w:ascii="仿宋" w:hAnsi="仿宋" w:eastAsia="仿宋" w:cs="仿宋"/>
          <w:b/>
          <w:sz w:val="24"/>
        </w:rPr>
      </w:pPr>
      <w:bookmarkStart w:id="53" w:name="_Toc87205239"/>
      <w:bookmarkStart w:id="54" w:name="_Toc47364306"/>
      <w:r>
        <w:rPr>
          <w:rFonts w:hint="eastAsia" w:ascii="仿宋" w:hAnsi="仿宋" w:eastAsia="仿宋" w:cs="仿宋"/>
          <w:b/>
          <w:sz w:val="24"/>
          <w:lang w:val="en-US" w:eastAsia="zh-CN"/>
        </w:rPr>
        <w:t>6</w:t>
      </w:r>
      <w:r>
        <w:rPr>
          <w:rFonts w:hint="eastAsia" w:ascii="仿宋" w:hAnsi="仿宋" w:eastAsia="仿宋" w:cs="仿宋"/>
          <w:b/>
          <w:sz w:val="24"/>
        </w:rPr>
        <w:t>.计量单位</w:t>
      </w:r>
      <w:bookmarkEnd w:id="53"/>
      <w:bookmarkEnd w:id="54"/>
    </w:p>
    <w:p>
      <w:pPr>
        <w:pStyle w:val="18"/>
        <w:adjustRightInd w:val="0"/>
        <w:snapToGrid/>
        <w:spacing w:line="360" w:lineRule="auto"/>
        <w:ind w:left="0" w:leftChars="0"/>
        <w:rPr>
          <w:rFonts w:ascii="仿宋" w:hAnsi="仿宋" w:eastAsia="仿宋" w:cs="仿宋"/>
          <w:sz w:val="24"/>
        </w:rPr>
      </w:pPr>
      <w:r>
        <w:rPr>
          <w:rFonts w:hint="eastAsia" w:ascii="仿宋" w:hAnsi="仿宋" w:eastAsia="仿宋" w:cs="仿宋"/>
          <w:sz w:val="24"/>
        </w:rPr>
        <w:t>计量单位应当使用中华人民共和国法定计量单位，招标文件的技术要求中另有规定的除外。</w:t>
      </w:r>
    </w:p>
    <w:p>
      <w:pPr>
        <w:tabs>
          <w:tab w:val="left" w:pos="525"/>
          <w:tab w:val="left" w:pos="705"/>
        </w:tabs>
        <w:adjustRightInd w:val="0"/>
        <w:spacing w:line="360" w:lineRule="auto"/>
        <w:outlineLvl w:val="2"/>
        <w:rPr>
          <w:rFonts w:ascii="仿宋" w:hAnsi="仿宋" w:eastAsia="仿宋" w:cs="仿宋"/>
          <w:b/>
          <w:sz w:val="24"/>
        </w:rPr>
      </w:pPr>
      <w:bookmarkStart w:id="55" w:name="_Toc47364307"/>
      <w:bookmarkStart w:id="56" w:name="_Toc87205240"/>
      <w:r>
        <w:rPr>
          <w:rFonts w:hint="eastAsia" w:ascii="仿宋" w:hAnsi="仿宋" w:eastAsia="仿宋" w:cs="仿宋"/>
          <w:b/>
          <w:sz w:val="24"/>
          <w:lang w:val="en-US" w:eastAsia="zh-CN"/>
        </w:rPr>
        <w:t>7</w:t>
      </w:r>
      <w:r>
        <w:rPr>
          <w:rFonts w:hint="eastAsia" w:ascii="仿宋" w:hAnsi="仿宋" w:eastAsia="仿宋" w:cs="仿宋"/>
          <w:b/>
          <w:sz w:val="24"/>
        </w:rPr>
        <w:t>.投标报价</w:t>
      </w:r>
      <w:bookmarkEnd w:id="55"/>
      <w:bookmarkEnd w:id="56"/>
    </w:p>
    <w:p>
      <w:pPr>
        <w:adjustRightInd w:val="0"/>
        <w:spacing w:line="360" w:lineRule="auto"/>
        <w:rPr>
          <w:rFonts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.1 投标</w:t>
      </w:r>
      <w:r>
        <w:rPr>
          <w:rFonts w:hint="eastAsia" w:ascii="仿宋" w:hAnsi="仿宋" w:eastAsia="仿宋" w:cs="仿宋"/>
          <w:sz w:val="24"/>
          <w:lang w:val="en-US" w:eastAsia="zh-CN"/>
        </w:rPr>
        <w:t>单产品</w:t>
      </w:r>
      <w:r>
        <w:rPr>
          <w:rFonts w:hint="eastAsia" w:ascii="仿宋" w:hAnsi="仿宋" w:eastAsia="仿宋" w:cs="仿宋"/>
          <w:sz w:val="24"/>
        </w:rPr>
        <w:t>总价包括投标人为完成本项目所发生的一切费用，估算错误或漏项的风险由投标人自行承担。</w:t>
      </w:r>
    </w:p>
    <w:p>
      <w:pPr>
        <w:adjustRightInd w:val="0"/>
        <w:spacing w:line="360" w:lineRule="auto"/>
        <w:rPr>
          <w:rFonts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w:t>
      </w:r>
      <w:r>
        <w:rPr>
          <w:rFonts w:hint="eastAsia" w:ascii="仿宋" w:hAnsi="仿宋" w:eastAsia="仿宋" w:cs="仿宋"/>
          <w:sz w:val="24"/>
          <w:lang w:val="en-US" w:eastAsia="zh-CN"/>
        </w:rPr>
        <w:t xml:space="preserve">2 </w:t>
      </w:r>
      <w:r>
        <w:rPr>
          <w:rFonts w:hint="eastAsia" w:ascii="仿宋" w:hAnsi="仿宋" w:eastAsia="仿宋" w:cs="仿宋"/>
          <w:sz w:val="24"/>
        </w:rPr>
        <w:t>最低报价不能作为中标的保证。</w:t>
      </w:r>
    </w:p>
    <w:p>
      <w:pPr>
        <w:tabs>
          <w:tab w:val="left" w:pos="525"/>
          <w:tab w:val="left" w:pos="705"/>
        </w:tabs>
        <w:adjustRightInd w:val="0"/>
        <w:spacing w:line="360" w:lineRule="auto"/>
        <w:outlineLvl w:val="2"/>
        <w:rPr>
          <w:rFonts w:ascii="仿宋" w:hAnsi="仿宋" w:eastAsia="仿宋" w:cs="仿宋"/>
          <w:b/>
          <w:sz w:val="24"/>
        </w:rPr>
      </w:pPr>
      <w:bookmarkStart w:id="57" w:name="_Toc47364308"/>
      <w:bookmarkStart w:id="58" w:name="_Toc87205241"/>
      <w:r>
        <w:rPr>
          <w:rFonts w:hint="eastAsia" w:ascii="仿宋" w:hAnsi="仿宋" w:eastAsia="仿宋" w:cs="仿宋"/>
          <w:b/>
          <w:sz w:val="24"/>
          <w:lang w:val="en-US" w:eastAsia="zh-CN"/>
        </w:rPr>
        <w:t>8</w:t>
      </w:r>
      <w:r>
        <w:rPr>
          <w:rFonts w:hint="eastAsia" w:ascii="仿宋" w:hAnsi="仿宋" w:eastAsia="仿宋" w:cs="仿宋"/>
          <w:b/>
          <w:sz w:val="24"/>
        </w:rPr>
        <w:t>.投标货币</w:t>
      </w:r>
      <w:bookmarkEnd w:id="57"/>
      <w:bookmarkEnd w:id="58"/>
    </w:p>
    <w:p>
      <w:pPr>
        <w:adjustRightInd w:val="0"/>
        <w:spacing w:line="360" w:lineRule="auto"/>
        <w:rPr>
          <w:rFonts w:ascii="仿宋" w:hAnsi="仿宋" w:eastAsia="仿宋" w:cs="仿宋"/>
          <w:sz w:val="24"/>
        </w:rPr>
      </w:pPr>
      <w:r>
        <w:rPr>
          <w:rFonts w:hint="eastAsia" w:ascii="仿宋" w:hAnsi="仿宋" w:eastAsia="仿宋" w:cs="仿宋"/>
          <w:sz w:val="24"/>
        </w:rPr>
        <w:t>投标人应以人民币填报投标报价，合同履行时采购人亦以人民币支付。</w:t>
      </w:r>
    </w:p>
    <w:p>
      <w:pPr>
        <w:tabs>
          <w:tab w:val="left" w:pos="525"/>
          <w:tab w:val="left" w:pos="705"/>
        </w:tabs>
        <w:adjustRightInd w:val="0"/>
        <w:spacing w:line="360" w:lineRule="auto"/>
        <w:outlineLvl w:val="2"/>
        <w:rPr>
          <w:rFonts w:hint="eastAsia" w:ascii="仿宋" w:hAnsi="仿宋" w:eastAsia="仿宋" w:cs="仿宋"/>
          <w:b/>
          <w:sz w:val="24"/>
          <w:lang w:val="en-US" w:eastAsia="zh-CN"/>
        </w:rPr>
      </w:pPr>
      <w:r>
        <w:rPr>
          <w:rFonts w:hint="eastAsia" w:ascii="仿宋" w:hAnsi="仿宋" w:eastAsia="仿宋" w:cs="仿宋"/>
          <w:b/>
          <w:sz w:val="24"/>
          <w:lang w:val="en-US" w:eastAsia="zh-CN"/>
        </w:rPr>
        <w:t>9.投标有效期</w:t>
      </w:r>
    </w:p>
    <w:p>
      <w:pPr>
        <w:adjustRightInd w:val="0"/>
        <w:spacing w:line="360" w:lineRule="auto"/>
        <w:rPr>
          <w:rFonts w:hint="eastAsia"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.1 投标人投标有效期短于招标文件规定期限的，将被视为非响应投标而按照无效投标处理。</w:t>
      </w:r>
    </w:p>
    <w:p>
      <w:pPr>
        <w:adjustRightInd w:val="0"/>
        <w:spacing w:line="360" w:lineRule="auto"/>
        <w:rPr>
          <w:rFonts w:hint="eastAsia"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.2 在特殊情况下，在原投标有效期期满之前，采购代理机构可以要求投标人延长投标有效期。这种要求与答复均应以书面形式进行。在此种情况下，投标人不得修改投标文件的其它内容。投标人不同意延长投标有效期的，将被按照无效投标处理。</w:t>
      </w:r>
    </w:p>
    <w:p>
      <w:pPr>
        <w:tabs>
          <w:tab w:val="left" w:pos="525"/>
          <w:tab w:val="left" w:pos="705"/>
        </w:tabs>
        <w:adjustRightInd w:val="0"/>
        <w:spacing w:line="360" w:lineRule="auto"/>
        <w:rPr>
          <w:rFonts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lang w:val="en-US" w:eastAsia="zh-CN"/>
        </w:rPr>
        <w:t>0</w:t>
      </w:r>
      <w:r>
        <w:rPr>
          <w:rFonts w:hint="eastAsia" w:ascii="仿宋" w:hAnsi="仿宋" w:eastAsia="仿宋" w:cs="仿宋"/>
          <w:b/>
          <w:sz w:val="24"/>
        </w:rPr>
        <w:t>.投标文件的签署</w:t>
      </w:r>
    </w:p>
    <w:p>
      <w:pPr>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0</w:t>
      </w:r>
      <w:r>
        <w:rPr>
          <w:rFonts w:hint="eastAsia" w:ascii="仿宋" w:hAnsi="仿宋" w:eastAsia="仿宋" w:cs="仿宋"/>
          <w:sz w:val="24"/>
        </w:rPr>
        <w:t>.1 投标人应按投标人须知前附表中的规定准备和递交投标文件正本、副本和电子</w:t>
      </w:r>
    </w:p>
    <w:p>
      <w:pPr>
        <w:spacing w:line="360" w:lineRule="auto"/>
        <w:rPr>
          <w:rFonts w:ascii="仿宋" w:hAnsi="仿宋" w:eastAsia="仿宋" w:cs="仿宋"/>
          <w:sz w:val="24"/>
        </w:rPr>
      </w:pPr>
      <w:r>
        <w:rPr>
          <w:rFonts w:hint="eastAsia" w:ascii="仿宋" w:hAnsi="仿宋" w:eastAsia="仿宋" w:cs="仿宋"/>
          <w:sz w:val="24"/>
        </w:rPr>
        <w:t>文档，每份纸质投标文件须清楚地标明“正本”或“副本”。若正本和副本不符，以正本为准。</w:t>
      </w:r>
    </w:p>
    <w:p>
      <w:pPr>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0</w:t>
      </w:r>
      <w:r>
        <w:rPr>
          <w:rFonts w:hint="eastAsia" w:ascii="仿宋" w:hAnsi="仿宋" w:eastAsia="仿宋" w:cs="仿宋"/>
          <w:sz w:val="24"/>
        </w:rPr>
        <w:t>.2 投标文件的正本需打印或用不褪色墨水书写，并由投标人的法定代表人或经其正式授权的代表按招标文件规定在投标文件上签字并加盖单位印章。授权代表须持有书面的“法定代表人授权书”（标准格式附后），并将其附在投标文件中。投标文件的副本可采用正本的复印件。</w:t>
      </w:r>
    </w:p>
    <w:p>
      <w:pPr>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0</w:t>
      </w:r>
      <w:r>
        <w:rPr>
          <w:rFonts w:hint="eastAsia" w:ascii="仿宋" w:hAnsi="仿宋" w:eastAsia="仿宋" w:cs="仿宋"/>
          <w:sz w:val="24"/>
        </w:rPr>
        <w:t>.3 所有投标文件采用不可拆装的胶装方式装订。</w:t>
      </w:r>
    </w:p>
    <w:p>
      <w:pPr>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0</w:t>
      </w:r>
      <w:r>
        <w:rPr>
          <w:rFonts w:hint="eastAsia" w:ascii="仿宋" w:hAnsi="仿宋" w:eastAsia="仿宋" w:cs="仿宋"/>
          <w:sz w:val="24"/>
        </w:rPr>
        <w:t>.4 任何行间插字、涂改和增删，必须由供应商的法定代表人或经其正式授权的代</w:t>
      </w:r>
    </w:p>
    <w:p>
      <w:pPr>
        <w:spacing w:line="360" w:lineRule="auto"/>
        <w:rPr>
          <w:rFonts w:ascii="仿宋" w:hAnsi="仿宋" w:eastAsia="仿宋" w:cs="仿宋"/>
          <w:sz w:val="24"/>
        </w:rPr>
      </w:pPr>
      <w:r>
        <w:rPr>
          <w:rFonts w:hint="eastAsia" w:ascii="仿宋" w:hAnsi="仿宋" w:eastAsia="仿宋" w:cs="仿宋"/>
          <w:sz w:val="24"/>
        </w:rPr>
        <w:t>表签字或盖章后才有效。</w:t>
      </w:r>
    </w:p>
    <w:p>
      <w:pPr>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0</w:t>
      </w:r>
      <w:r>
        <w:rPr>
          <w:rFonts w:hint="eastAsia" w:ascii="仿宋" w:hAnsi="仿宋" w:eastAsia="仿宋" w:cs="仿宋"/>
          <w:sz w:val="24"/>
        </w:rPr>
        <w:t>.5 投标文件因字迹潦草、表达不清或装订不当所引起的后果由供应商负责。</w:t>
      </w:r>
    </w:p>
    <w:p>
      <w:pPr>
        <w:tabs>
          <w:tab w:val="left" w:pos="4265"/>
          <w:tab w:val="left" w:pos="6816"/>
        </w:tabs>
        <w:adjustRightInd w:val="0"/>
        <w:spacing w:line="360" w:lineRule="auto"/>
        <w:jc w:val="center"/>
        <w:rPr>
          <w:rFonts w:ascii="仿宋" w:hAnsi="仿宋" w:eastAsia="仿宋" w:cs="仿宋"/>
          <w:b/>
          <w:bCs/>
          <w:sz w:val="24"/>
        </w:rPr>
      </w:pPr>
      <w:r>
        <w:rPr>
          <w:rFonts w:hint="eastAsia" w:ascii="仿宋" w:hAnsi="仿宋" w:eastAsia="仿宋" w:cs="仿宋"/>
          <w:b/>
          <w:bCs/>
          <w:sz w:val="24"/>
        </w:rPr>
        <w:t>四、投标文件的递交</w:t>
      </w:r>
    </w:p>
    <w:p>
      <w:pPr>
        <w:tabs>
          <w:tab w:val="left" w:pos="1095"/>
        </w:tabs>
        <w:spacing w:line="480" w:lineRule="exact"/>
        <w:rPr>
          <w:rFonts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lang w:val="en-US" w:eastAsia="zh-CN"/>
        </w:rPr>
        <w:t>1</w:t>
      </w:r>
      <w:r>
        <w:rPr>
          <w:rFonts w:hint="eastAsia" w:ascii="仿宋" w:hAnsi="仿宋" w:eastAsia="仿宋" w:cs="仿宋"/>
          <w:b/>
          <w:sz w:val="24"/>
        </w:rPr>
        <w:t>. 投标文件的密封和标记</w:t>
      </w:r>
    </w:p>
    <w:p>
      <w:pPr>
        <w:tabs>
          <w:tab w:val="left" w:pos="1095"/>
        </w:tabs>
        <w:spacing w:line="480" w:lineRule="exact"/>
        <w:rPr>
          <w:rFonts w:ascii="仿宋" w:hAnsi="仿宋" w:eastAsia="仿宋" w:cs="仿宋"/>
          <w:bCs/>
          <w:sz w:val="24"/>
        </w:rPr>
      </w:pPr>
      <w:r>
        <w:rPr>
          <w:rFonts w:hint="eastAsia" w:ascii="仿宋" w:hAnsi="仿宋" w:eastAsia="仿宋" w:cs="仿宋"/>
          <w:bCs/>
          <w:sz w:val="24"/>
        </w:rPr>
        <w:t>1</w:t>
      </w:r>
      <w:r>
        <w:rPr>
          <w:rFonts w:hint="eastAsia" w:ascii="仿宋" w:hAnsi="仿宋" w:eastAsia="仿宋" w:cs="仿宋"/>
          <w:bCs/>
          <w:sz w:val="24"/>
          <w:lang w:val="en-US" w:eastAsia="zh-CN"/>
        </w:rPr>
        <w:t>1</w:t>
      </w:r>
      <w:r>
        <w:rPr>
          <w:rFonts w:hint="eastAsia" w:ascii="仿宋" w:hAnsi="仿宋" w:eastAsia="仿宋" w:cs="仿宋"/>
          <w:bCs/>
          <w:sz w:val="24"/>
        </w:rPr>
        <w:t>.1 投标时，投标人应将投标文件正本和副本分开单独密封，且在封皮正面标明“正</w:t>
      </w:r>
    </w:p>
    <w:p>
      <w:pPr>
        <w:tabs>
          <w:tab w:val="left" w:pos="1095"/>
        </w:tabs>
        <w:spacing w:line="480" w:lineRule="exact"/>
        <w:rPr>
          <w:rFonts w:ascii="仿宋" w:hAnsi="仿宋" w:eastAsia="仿宋" w:cs="仿宋"/>
          <w:bCs/>
          <w:sz w:val="24"/>
        </w:rPr>
      </w:pPr>
      <w:r>
        <w:rPr>
          <w:rFonts w:hint="eastAsia" w:ascii="仿宋" w:hAnsi="仿宋" w:eastAsia="仿宋" w:cs="仿宋"/>
          <w:bCs/>
          <w:sz w:val="24"/>
        </w:rPr>
        <w:t>本”或“副本”字样。</w:t>
      </w:r>
    </w:p>
    <w:p>
      <w:pPr>
        <w:tabs>
          <w:tab w:val="left" w:pos="1095"/>
        </w:tabs>
        <w:spacing w:line="480" w:lineRule="exact"/>
        <w:rPr>
          <w:rFonts w:ascii="仿宋" w:hAnsi="仿宋" w:eastAsia="仿宋" w:cs="仿宋"/>
          <w:bCs/>
          <w:sz w:val="24"/>
        </w:rPr>
      </w:pPr>
      <w:r>
        <w:rPr>
          <w:rFonts w:hint="eastAsia" w:ascii="仿宋" w:hAnsi="仿宋" w:eastAsia="仿宋" w:cs="仿宋"/>
          <w:bCs/>
          <w:sz w:val="24"/>
        </w:rPr>
        <w:t>1</w:t>
      </w:r>
      <w:r>
        <w:rPr>
          <w:rFonts w:hint="eastAsia" w:ascii="仿宋" w:hAnsi="仿宋" w:eastAsia="仿宋" w:cs="仿宋"/>
          <w:bCs/>
          <w:sz w:val="24"/>
          <w:lang w:val="en-US" w:eastAsia="zh-CN"/>
        </w:rPr>
        <w:t>1</w:t>
      </w:r>
      <w:r>
        <w:rPr>
          <w:rFonts w:hint="eastAsia" w:ascii="仿宋" w:hAnsi="仿宋" w:eastAsia="仿宋" w:cs="仿宋"/>
          <w:bCs/>
          <w:sz w:val="24"/>
        </w:rPr>
        <w:t>.</w:t>
      </w:r>
      <w:r>
        <w:rPr>
          <w:rFonts w:hint="eastAsia" w:ascii="仿宋" w:hAnsi="仿宋" w:eastAsia="仿宋" w:cs="仿宋"/>
          <w:bCs/>
          <w:sz w:val="24"/>
          <w:lang w:val="en-US" w:eastAsia="zh-CN"/>
        </w:rPr>
        <w:t>2</w:t>
      </w:r>
      <w:r>
        <w:rPr>
          <w:rFonts w:hint="eastAsia" w:ascii="仿宋" w:hAnsi="仿宋" w:eastAsia="仿宋" w:cs="仿宋"/>
          <w:bCs/>
          <w:sz w:val="24"/>
        </w:rPr>
        <w:t xml:space="preserve"> 所有包装封皮和信封上均应：</w:t>
      </w:r>
    </w:p>
    <w:p>
      <w:pPr>
        <w:tabs>
          <w:tab w:val="left" w:pos="1095"/>
        </w:tabs>
        <w:spacing w:line="480" w:lineRule="exact"/>
        <w:rPr>
          <w:rFonts w:ascii="仿宋" w:hAnsi="仿宋" w:eastAsia="仿宋" w:cs="仿宋"/>
          <w:bCs/>
          <w:sz w:val="24"/>
        </w:rPr>
      </w:pPr>
      <w:r>
        <w:rPr>
          <w:rFonts w:hint="eastAsia" w:ascii="仿宋" w:hAnsi="仿宋" w:eastAsia="仿宋" w:cs="仿宋"/>
          <w:bCs/>
          <w:sz w:val="24"/>
        </w:rPr>
        <w:t>（1）注明招标公告或投标邀请书中指明的项目名称、项目编号、投标人名称、业主单位名称。</w:t>
      </w:r>
    </w:p>
    <w:p>
      <w:pPr>
        <w:tabs>
          <w:tab w:val="left" w:pos="1095"/>
        </w:tabs>
        <w:spacing w:line="480" w:lineRule="exact"/>
        <w:rPr>
          <w:rFonts w:ascii="仿宋" w:hAnsi="仿宋" w:eastAsia="仿宋" w:cs="仿宋"/>
          <w:bCs/>
          <w:sz w:val="24"/>
        </w:rPr>
      </w:pPr>
      <w:r>
        <w:rPr>
          <w:rFonts w:hint="eastAsia" w:ascii="仿宋" w:hAnsi="仿宋" w:eastAsia="仿宋" w:cs="仿宋"/>
          <w:bCs/>
          <w:sz w:val="24"/>
        </w:rPr>
        <w:t>（2）在封装处加盖投标人公章和法人私章，每一封口处均应贴“</w:t>
      </w:r>
      <w:r>
        <w:rPr>
          <w:rFonts w:hint="eastAsia" w:ascii="仿宋" w:hAnsi="仿宋" w:eastAsia="仿宋" w:cs="仿宋"/>
          <w:bCs/>
          <w:sz w:val="24"/>
          <w:u w:val="single"/>
        </w:rPr>
        <w:t xml:space="preserve">         </w:t>
      </w:r>
      <w:r>
        <w:rPr>
          <w:rFonts w:hint="eastAsia" w:ascii="仿宋" w:hAnsi="仿宋" w:eastAsia="仿宋" w:cs="仿宋"/>
          <w:bCs/>
          <w:sz w:val="24"/>
        </w:rPr>
        <w:t>项目在  年  月  日  时   分之前不得启封”字样的密封条。未按此要求密封的投标文件将被拒绝。</w:t>
      </w:r>
    </w:p>
    <w:p>
      <w:pPr>
        <w:tabs>
          <w:tab w:val="left" w:pos="1095"/>
        </w:tabs>
        <w:spacing w:line="480" w:lineRule="exact"/>
        <w:rPr>
          <w:rFonts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lang w:val="en-US" w:eastAsia="zh-CN"/>
        </w:rPr>
        <w:t>2</w:t>
      </w:r>
      <w:r>
        <w:rPr>
          <w:rFonts w:hint="eastAsia" w:ascii="仿宋" w:hAnsi="仿宋" w:eastAsia="仿宋" w:cs="仿宋"/>
          <w:b/>
          <w:sz w:val="24"/>
        </w:rPr>
        <w:t>.投标截止时间的延长</w:t>
      </w:r>
    </w:p>
    <w:p>
      <w:pPr>
        <w:tabs>
          <w:tab w:val="left" w:pos="1095"/>
        </w:tabs>
        <w:spacing w:line="480" w:lineRule="exac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2</w:t>
      </w:r>
      <w:r>
        <w:rPr>
          <w:rFonts w:hint="eastAsia" w:ascii="仿宋" w:hAnsi="仿宋" w:eastAsia="仿宋" w:cs="仿宋"/>
          <w:sz w:val="24"/>
        </w:rPr>
        <w:t>.1 投标人应在招标公告或投标邀请书中规定的截止日期和时间内，派人将投标文</w:t>
      </w:r>
    </w:p>
    <w:p>
      <w:pPr>
        <w:tabs>
          <w:tab w:val="left" w:pos="1095"/>
        </w:tabs>
        <w:spacing w:line="480" w:lineRule="exact"/>
        <w:rPr>
          <w:rFonts w:ascii="仿宋" w:hAnsi="仿宋" w:eastAsia="仿宋" w:cs="仿宋"/>
          <w:sz w:val="24"/>
        </w:rPr>
      </w:pPr>
      <w:r>
        <w:rPr>
          <w:rFonts w:hint="eastAsia" w:ascii="仿宋" w:hAnsi="仿宋" w:eastAsia="仿宋" w:cs="仿宋"/>
          <w:sz w:val="24"/>
        </w:rPr>
        <w:t>件递交到招标公告或投标邀请书中规定的地址。</w:t>
      </w:r>
    </w:p>
    <w:p>
      <w:pPr>
        <w:tabs>
          <w:tab w:val="left" w:pos="525"/>
        </w:tabs>
        <w:adjustRightInd w:val="0"/>
        <w:spacing w:line="360" w:lineRule="auto"/>
        <w:outlineLvl w:val="2"/>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2</w:t>
      </w:r>
      <w:r>
        <w:rPr>
          <w:rFonts w:hint="eastAsia" w:ascii="仿宋" w:hAnsi="仿宋" w:eastAsia="仿宋" w:cs="仿宋"/>
          <w:sz w:val="24"/>
        </w:rPr>
        <w:t>.2 采购人有权按本须知的规定，通过修改招标文件，延长投标截止期。在此情况下，采购人、供应商受投标截止期制约的所有权利和义务均应延长至新的截止期。</w:t>
      </w:r>
    </w:p>
    <w:p>
      <w:pPr>
        <w:tabs>
          <w:tab w:val="left" w:pos="1095"/>
        </w:tabs>
        <w:spacing w:line="480" w:lineRule="exac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2</w:t>
      </w:r>
      <w:r>
        <w:rPr>
          <w:rFonts w:hint="eastAsia" w:ascii="仿宋" w:hAnsi="仿宋" w:eastAsia="仿宋" w:cs="仿宋"/>
          <w:sz w:val="24"/>
        </w:rPr>
        <w:t>.3 采购人将拒绝并原封退回在投标截止期后送达的任何投标文件。</w:t>
      </w:r>
    </w:p>
    <w:p>
      <w:pPr>
        <w:tabs>
          <w:tab w:val="left" w:pos="525"/>
        </w:tabs>
        <w:adjustRightInd w:val="0"/>
        <w:spacing w:line="360" w:lineRule="auto"/>
        <w:outlineLvl w:val="2"/>
        <w:rPr>
          <w:rFonts w:ascii="仿宋" w:hAnsi="仿宋" w:eastAsia="仿宋" w:cs="仿宋"/>
          <w:sz w:val="24"/>
        </w:rPr>
      </w:pPr>
      <w:bookmarkStart w:id="59" w:name="_Toc47364309"/>
      <w:bookmarkStart w:id="60" w:name="_Toc87205242"/>
      <w:r>
        <w:rPr>
          <w:rFonts w:hint="eastAsia" w:ascii="仿宋" w:hAnsi="仿宋" w:eastAsia="仿宋" w:cs="仿宋"/>
          <w:b/>
          <w:sz w:val="24"/>
        </w:rPr>
        <w:t>1</w:t>
      </w:r>
      <w:r>
        <w:rPr>
          <w:rFonts w:hint="eastAsia" w:ascii="仿宋" w:hAnsi="仿宋" w:eastAsia="仿宋" w:cs="仿宋"/>
          <w:b/>
          <w:sz w:val="24"/>
          <w:lang w:val="en-US" w:eastAsia="zh-CN"/>
        </w:rPr>
        <w:t>3</w:t>
      </w:r>
      <w:r>
        <w:rPr>
          <w:rFonts w:hint="eastAsia" w:ascii="仿宋" w:hAnsi="仿宋" w:eastAsia="仿宋" w:cs="仿宋"/>
          <w:b/>
          <w:sz w:val="24"/>
        </w:rPr>
        <w:t>.投标文件的撤回和修改</w:t>
      </w:r>
      <w:bookmarkEnd w:id="59"/>
      <w:bookmarkEnd w:id="60"/>
    </w:p>
    <w:p>
      <w:pPr>
        <w:tabs>
          <w:tab w:val="left" w:pos="525"/>
        </w:tabs>
        <w:adjustRightInd w:val="0"/>
        <w:spacing w:line="360" w:lineRule="auto"/>
        <w:outlineLvl w:val="2"/>
        <w:rPr>
          <w:rFonts w:ascii="仿宋" w:hAnsi="仿宋" w:eastAsia="仿宋" w:cs="仿宋"/>
          <w:sz w:val="24"/>
        </w:rPr>
      </w:pPr>
      <w:bookmarkStart w:id="61" w:name="_Toc47364310"/>
      <w:bookmarkStart w:id="62" w:name="_Toc87205243"/>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.1 采购人收到投标文件后，应当如实记载投标文件的送达时间</w:t>
      </w:r>
      <w:bookmarkEnd w:id="61"/>
      <w:bookmarkEnd w:id="62"/>
      <w:bookmarkStart w:id="63" w:name="_Toc87205244"/>
      <w:bookmarkStart w:id="64" w:name="_Toc47364311"/>
      <w:r>
        <w:rPr>
          <w:rFonts w:hint="eastAsia" w:ascii="仿宋" w:hAnsi="仿宋" w:eastAsia="仿宋" w:cs="仿宋"/>
          <w:sz w:val="24"/>
        </w:rPr>
        <w:t>和密封情况。</w:t>
      </w:r>
      <w:bookmarkEnd w:id="63"/>
      <w:bookmarkEnd w:id="64"/>
    </w:p>
    <w:p>
      <w:pPr>
        <w:tabs>
          <w:tab w:val="left" w:pos="525"/>
        </w:tabs>
        <w:adjustRightInd w:val="0"/>
        <w:spacing w:line="360" w:lineRule="auto"/>
        <w:outlineLvl w:val="2"/>
        <w:rPr>
          <w:rFonts w:ascii="仿宋" w:hAnsi="仿宋" w:eastAsia="仿宋" w:cs="仿宋"/>
          <w:sz w:val="24"/>
        </w:rPr>
      </w:pPr>
      <w:bookmarkStart w:id="65" w:name="_Toc87205245"/>
      <w:bookmarkStart w:id="66" w:name="_Toc47364312"/>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.2 投标以后，如果投标人提出书面修改或撤标要求，在投标截止时间前送达开标</w:t>
      </w:r>
      <w:bookmarkEnd w:id="65"/>
      <w:bookmarkEnd w:id="66"/>
    </w:p>
    <w:p>
      <w:pPr>
        <w:tabs>
          <w:tab w:val="left" w:pos="525"/>
        </w:tabs>
        <w:adjustRightInd w:val="0"/>
        <w:spacing w:line="360" w:lineRule="auto"/>
        <w:outlineLvl w:val="2"/>
        <w:rPr>
          <w:rFonts w:ascii="仿宋" w:hAnsi="仿宋" w:eastAsia="仿宋" w:cs="仿宋"/>
          <w:sz w:val="24"/>
        </w:rPr>
      </w:pPr>
      <w:bookmarkStart w:id="67" w:name="_Toc47364313"/>
      <w:bookmarkStart w:id="68" w:name="_Toc87205246"/>
      <w:r>
        <w:rPr>
          <w:rFonts w:hint="eastAsia" w:ascii="仿宋" w:hAnsi="仿宋" w:eastAsia="仿宋" w:cs="仿宋"/>
          <w:sz w:val="24"/>
        </w:rPr>
        <w:t>地点，采购人将予以接受，并视为投标文件的组成部分。</w:t>
      </w:r>
      <w:bookmarkEnd w:id="67"/>
      <w:bookmarkEnd w:id="68"/>
    </w:p>
    <w:p>
      <w:pPr>
        <w:tabs>
          <w:tab w:val="left" w:pos="525"/>
        </w:tabs>
        <w:adjustRightInd w:val="0"/>
        <w:spacing w:line="360" w:lineRule="auto"/>
        <w:outlineLvl w:val="2"/>
        <w:rPr>
          <w:rFonts w:ascii="仿宋" w:hAnsi="仿宋" w:eastAsia="仿宋" w:cs="仿宋"/>
          <w:sz w:val="24"/>
        </w:rPr>
      </w:pPr>
      <w:bookmarkStart w:id="69" w:name="_Toc47364314"/>
      <w:bookmarkStart w:id="70" w:name="_Toc87205247"/>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.3 投标人对投标文件的修改或撤回通知应按本须知规定编制、密封、标记和发送。</w:t>
      </w:r>
      <w:bookmarkEnd w:id="69"/>
      <w:bookmarkEnd w:id="70"/>
    </w:p>
    <w:p>
      <w:pPr>
        <w:tabs>
          <w:tab w:val="left" w:pos="525"/>
        </w:tabs>
        <w:adjustRightInd w:val="0"/>
        <w:spacing w:line="360" w:lineRule="auto"/>
        <w:outlineLvl w:val="2"/>
        <w:rPr>
          <w:rFonts w:ascii="仿宋" w:hAnsi="仿宋" w:eastAsia="仿宋" w:cs="仿宋"/>
          <w:sz w:val="24"/>
        </w:rPr>
      </w:pPr>
      <w:bookmarkStart w:id="71" w:name="_Toc87205248"/>
      <w:bookmarkStart w:id="72" w:name="_Toc47364315"/>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.4 在投标截止期之后，投标人不得对其投标文件做任何修改，采购人</w:t>
      </w:r>
      <w:bookmarkEnd w:id="71"/>
      <w:bookmarkEnd w:id="72"/>
      <w:bookmarkStart w:id="73" w:name="_Toc47364316"/>
      <w:bookmarkStart w:id="74" w:name="_Toc87205249"/>
      <w:r>
        <w:rPr>
          <w:rFonts w:hint="eastAsia" w:ascii="仿宋" w:hAnsi="仿宋" w:eastAsia="仿宋" w:cs="仿宋"/>
          <w:sz w:val="24"/>
        </w:rPr>
        <w:t>对所接收投标文件概不退回。</w:t>
      </w:r>
      <w:bookmarkEnd w:id="73"/>
      <w:bookmarkEnd w:id="74"/>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五、开标</w:t>
      </w:r>
    </w:p>
    <w:p>
      <w:pPr>
        <w:tabs>
          <w:tab w:val="left" w:pos="525"/>
        </w:tabs>
        <w:adjustRightInd w:val="0"/>
        <w:spacing w:line="360" w:lineRule="auto"/>
        <w:outlineLvl w:val="2"/>
        <w:rPr>
          <w:rFonts w:ascii="仿宋" w:hAnsi="仿宋" w:eastAsia="仿宋" w:cs="仿宋"/>
          <w:b/>
          <w:sz w:val="24"/>
        </w:rPr>
      </w:pPr>
      <w:bookmarkStart w:id="75" w:name="_Toc87205252"/>
      <w:bookmarkStart w:id="76" w:name="_Toc47364319"/>
      <w:r>
        <w:rPr>
          <w:rFonts w:hint="eastAsia" w:ascii="仿宋" w:hAnsi="仿宋" w:eastAsia="仿宋" w:cs="仿宋"/>
          <w:b/>
          <w:sz w:val="24"/>
        </w:rPr>
        <w:t>1</w:t>
      </w:r>
      <w:r>
        <w:rPr>
          <w:rFonts w:hint="eastAsia" w:ascii="仿宋" w:hAnsi="仿宋" w:eastAsia="仿宋" w:cs="仿宋"/>
          <w:b/>
          <w:sz w:val="24"/>
          <w:lang w:val="en-US" w:eastAsia="zh-CN"/>
        </w:rPr>
        <w:t>4</w:t>
      </w:r>
      <w:r>
        <w:rPr>
          <w:rFonts w:hint="eastAsia" w:ascii="仿宋" w:hAnsi="仿宋" w:eastAsia="仿宋" w:cs="仿宋"/>
          <w:b/>
          <w:sz w:val="24"/>
        </w:rPr>
        <w:t>.开标</w:t>
      </w:r>
      <w:bookmarkEnd w:id="75"/>
      <w:bookmarkEnd w:id="76"/>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4</w:t>
      </w:r>
      <w:r>
        <w:rPr>
          <w:rFonts w:hint="eastAsia" w:ascii="仿宋" w:hAnsi="仿宋" w:eastAsia="仿宋" w:cs="仿宋"/>
          <w:sz w:val="24"/>
        </w:rPr>
        <w:t>.1 采购</w:t>
      </w:r>
      <w:r>
        <w:rPr>
          <w:rFonts w:hint="eastAsia" w:ascii="仿宋" w:hAnsi="仿宋" w:eastAsia="仿宋" w:cs="仿宋"/>
          <w:sz w:val="24"/>
          <w:lang w:val="en-US" w:eastAsia="zh-CN"/>
        </w:rPr>
        <w:t>人</w:t>
      </w:r>
      <w:r>
        <w:rPr>
          <w:rFonts w:hint="eastAsia" w:ascii="仿宋" w:hAnsi="仿宋" w:eastAsia="仿宋" w:cs="仿宋"/>
          <w:sz w:val="24"/>
        </w:rPr>
        <w:t>在规定的时间和地点组织开标活动。开标活动由采购</w:t>
      </w:r>
      <w:r>
        <w:rPr>
          <w:rFonts w:hint="eastAsia" w:ascii="仿宋" w:hAnsi="仿宋" w:eastAsia="仿宋" w:cs="仿宋"/>
          <w:sz w:val="24"/>
          <w:lang w:val="en-US" w:eastAsia="zh-CN"/>
        </w:rPr>
        <w:t>人招标采购部门</w:t>
      </w:r>
      <w:r>
        <w:rPr>
          <w:rFonts w:hint="eastAsia" w:ascii="仿宋" w:hAnsi="仿宋" w:eastAsia="仿宋" w:cs="仿宋"/>
          <w:sz w:val="24"/>
        </w:rPr>
        <w:t>主持。评标委员会成员不得参加开标活动。</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4</w:t>
      </w: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 xml:space="preserve"> 开标活动中不得以任何理由拒绝已接收的投标。</w:t>
      </w:r>
    </w:p>
    <w:p>
      <w:pPr>
        <w:tabs>
          <w:tab w:val="left" w:pos="600"/>
        </w:tabs>
        <w:adjustRightInd w:val="0"/>
        <w:spacing w:line="360" w:lineRule="auto"/>
        <w:rPr>
          <w:rFonts w:ascii="仿宋" w:hAnsi="仿宋" w:eastAsia="仿宋" w:cs="仿宋"/>
        </w:rPr>
      </w:pPr>
      <w:r>
        <w:rPr>
          <w:rFonts w:hint="eastAsia" w:ascii="仿宋" w:hAnsi="仿宋" w:eastAsia="仿宋" w:cs="仿宋"/>
          <w:sz w:val="24"/>
        </w:rPr>
        <w:t>1</w:t>
      </w:r>
      <w:r>
        <w:rPr>
          <w:rFonts w:hint="eastAsia" w:ascii="仿宋" w:hAnsi="仿宋" w:eastAsia="仿宋" w:cs="仿宋"/>
          <w:sz w:val="24"/>
          <w:lang w:val="en-US" w:eastAsia="zh-CN"/>
        </w:rPr>
        <w:t>4</w:t>
      </w: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 xml:space="preserve"> 采购人对开标过程进行记录</w:t>
      </w:r>
      <w:r>
        <w:rPr>
          <w:rFonts w:hint="eastAsia" w:ascii="仿宋" w:hAnsi="仿宋" w:eastAsia="仿宋" w:cs="仿宋"/>
          <w:sz w:val="24"/>
          <w:lang w:eastAsia="zh-CN"/>
        </w:rPr>
        <w:t>，</w:t>
      </w:r>
      <w:r>
        <w:rPr>
          <w:rFonts w:hint="eastAsia" w:ascii="仿宋" w:hAnsi="仿宋" w:eastAsia="仿宋" w:cs="仿宋"/>
          <w:sz w:val="24"/>
        </w:rPr>
        <w:t>并存档备查。</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4</w:t>
      </w: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 xml:space="preserve"> 开标过程中，如遇不可抗力或意外事件等情况，</w:t>
      </w:r>
      <w:r>
        <w:rPr>
          <w:rFonts w:hint="eastAsia" w:ascii="仿宋" w:hAnsi="仿宋" w:eastAsia="仿宋" w:cs="仿宋"/>
          <w:sz w:val="24"/>
          <w:lang w:val="en-US" w:eastAsia="zh-CN"/>
        </w:rPr>
        <w:t>采购人</w:t>
      </w:r>
      <w:r>
        <w:rPr>
          <w:rFonts w:hint="eastAsia" w:ascii="仿宋" w:hAnsi="仿宋" w:eastAsia="仿宋" w:cs="仿宋"/>
          <w:sz w:val="24"/>
        </w:rPr>
        <w:t>将暂时中断开标程序并依法处理后续事宜。</w:t>
      </w:r>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六、资格审查</w:t>
      </w:r>
    </w:p>
    <w:p>
      <w:pPr>
        <w:tabs>
          <w:tab w:val="left" w:pos="525"/>
        </w:tabs>
        <w:adjustRightInd w:val="0"/>
        <w:spacing w:line="360" w:lineRule="auto"/>
        <w:outlineLvl w:val="2"/>
        <w:rPr>
          <w:rFonts w:ascii="仿宋" w:hAnsi="仿宋" w:eastAsia="仿宋" w:cs="仿宋"/>
          <w:b/>
          <w:sz w:val="24"/>
        </w:rPr>
      </w:pPr>
      <w:bookmarkStart w:id="77" w:name="_Toc87205253"/>
      <w:bookmarkStart w:id="78" w:name="_Toc47364320"/>
      <w:r>
        <w:rPr>
          <w:rFonts w:hint="eastAsia" w:ascii="仿宋" w:hAnsi="仿宋" w:eastAsia="仿宋" w:cs="仿宋"/>
          <w:b/>
          <w:sz w:val="24"/>
        </w:rPr>
        <w:t>1</w:t>
      </w:r>
      <w:r>
        <w:rPr>
          <w:rFonts w:hint="eastAsia" w:ascii="仿宋" w:hAnsi="仿宋" w:eastAsia="仿宋" w:cs="仿宋"/>
          <w:b/>
          <w:sz w:val="24"/>
          <w:lang w:val="en-US" w:eastAsia="zh-CN"/>
        </w:rPr>
        <w:t>5</w:t>
      </w:r>
      <w:r>
        <w:rPr>
          <w:rFonts w:hint="eastAsia" w:ascii="仿宋" w:hAnsi="仿宋" w:eastAsia="仿宋" w:cs="仿宋"/>
          <w:b/>
          <w:sz w:val="24"/>
        </w:rPr>
        <w:t>.资格审查</w:t>
      </w:r>
      <w:bookmarkEnd w:id="77"/>
      <w:bookmarkEnd w:id="78"/>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5</w:t>
      </w:r>
      <w:r>
        <w:rPr>
          <w:rFonts w:hint="eastAsia" w:ascii="仿宋" w:hAnsi="仿宋" w:eastAsia="仿宋" w:cs="仿宋"/>
          <w:sz w:val="24"/>
        </w:rPr>
        <w:t>.1 开标结束后，采购人将依照政府采购相关法律制度和招标文件的规定，对投标人的资格进行审查，资格审查不合格的投标人按照无效投标处理。</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5</w:t>
      </w:r>
      <w:r>
        <w:rPr>
          <w:rFonts w:hint="eastAsia" w:ascii="仿宋" w:hAnsi="仿宋" w:eastAsia="仿宋" w:cs="仿宋"/>
          <w:sz w:val="24"/>
        </w:rPr>
        <w:t>.2 资格审查合格的投标人不足3家的，该项目或该标段不得评标。</w:t>
      </w:r>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七、评标</w:t>
      </w:r>
    </w:p>
    <w:p>
      <w:pPr>
        <w:tabs>
          <w:tab w:val="left" w:pos="525"/>
        </w:tabs>
        <w:adjustRightInd w:val="0"/>
        <w:spacing w:line="360" w:lineRule="auto"/>
        <w:outlineLvl w:val="2"/>
        <w:rPr>
          <w:rFonts w:ascii="仿宋" w:hAnsi="仿宋" w:eastAsia="仿宋" w:cs="仿宋"/>
          <w:b/>
          <w:sz w:val="24"/>
        </w:rPr>
      </w:pPr>
      <w:bookmarkStart w:id="79" w:name="_Toc87205254"/>
      <w:bookmarkStart w:id="80" w:name="_Toc47364321"/>
      <w:r>
        <w:rPr>
          <w:rFonts w:hint="eastAsia" w:ascii="仿宋" w:hAnsi="仿宋" w:eastAsia="仿宋" w:cs="仿宋"/>
          <w:b/>
          <w:sz w:val="24"/>
        </w:rPr>
        <w:t>1</w:t>
      </w:r>
      <w:r>
        <w:rPr>
          <w:rFonts w:hint="eastAsia" w:ascii="仿宋" w:hAnsi="仿宋" w:eastAsia="仿宋" w:cs="仿宋"/>
          <w:b/>
          <w:sz w:val="24"/>
          <w:lang w:val="en-US" w:eastAsia="zh-CN"/>
        </w:rPr>
        <w:t>6</w:t>
      </w:r>
      <w:r>
        <w:rPr>
          <w:rFonts w:hint="eastAsia" w:ascii="仿宋" w:hAnsi="仿宋" w:eastAsia="仿宋" w:cs="仿宋"/>
          <w:b/>
          <w:sz w:val="24"/>
        </w:rPr>
        <w:t>.评标</w:t>
      </w:r>
      <w:bookmarkEnd w:id="79"/>
      <w:bookmarkEnd w:id="80"/>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6</w:t>
      </w:r>
      <w:r>
        <w:rPr>
          <w:rFonts w:hint="eastAsia" w:ascii="仿宋" w:hAnsi="仿宋" w:eastAsia="仿宋" w:cs="仿宋"/>
          <w:sz w:val="24"/>
        </w:rPr>
        <w:t>.1 本评标办法仅适用于本项目评标。</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6</w:t>
      </w:r>
      <w:r>
        <w:rPr>
          <w:rFonts w:hint="eastAsia" w:ascii="仿宋" w:hAnsi="仿宋" w:eastAsia="仿宋" w:cs="仿宋"/>
          <w:sz w:val="24"/>
        </w:rPr>
        <w:t>.2 采购</w:t>
      </w:r>
      <w:r>
        <w:rPr>
          <w:rFonts w:hint="eastAsia" w:ascii="仿宋" w:hAnsi="仿宋" w:eastAsia="仿宋" w:cs="仿宋"/>
          <w:sz w:val="24"/>
          <w:lang w:val="en-US" w:eastAsia="zh-CN"/>
        </w:rPr>
        <w:t>人</w:t>
      </w:r>
      <w:r>
        <w:rPr>
          <w:rFonts w:hint="eastAsia" w:ascii="仿宋" w:hAnsi="仿宋" w:eastAsia="仿宋" w:cs="仿宋"/>
          <w:sz w:val="24"/>
        </w:rPr>
        <w:t>负责组织评标工作，并采取必要措施，保证评标在严格保密的情况下进行。</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6</w:t>
      </w:r>
      <w:r>
        <w:rPr>
          <w:rFonts w:hint="eastAsia" w:ascii="仿宋" w:hAnsi="仿宋" w:eastAsia="仿宋" w:cs="仿宋"/>
          <w:sz w:val="24"/>
        </w:rPr>
        <w:t>.3 评标委员会及其成员要严格遵守政府采购相关法律制度，遵守评审工作纪律，依据招标文件规定，公正、客观、审慎地进行评审工作。评标委员会成员要依法独立评审，并对评审意见承担个人责任；不得使用招标文件没有规定的评审因素和标准进行评审；对评审情况以及在评审过程中获悉的国家秘密、商业秘密负有保密责任；禁止泄露评审文件、评审情况。</w:t>
      </w:r>
    </w:p>
    <w:p>
      <w:pPr>
        <w:adjustRightInd w:val="0"/>
        <w:spacing w:line="360" w:lineRule="auto"/>
        <w:rPr>
          <w:rFonts w:ascii="仿宋" w:hAnsi="仿宋" w:eastAsia="仿宋" w:cs="仿宋"/>
          <w:sz w:val="24"/>
        </w:rPr>
      </w:pPr>
      <w:r>
        <w:rPr>
          <w:rFonts w:hint="eastAsia" w:ascii="仿宋" w:hAnsi="仿宋" w:eastAsia="仿宋" w:cs="仿宋"/>
          <w:sz w:val="24"/>
          <w:lang w:val="en-US" w:eastAsia="zh-CN"/>
        </w:rPr>
        <w:t>16</w:t>
      </w: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有下列情形之一的，视为投标人串通投标，其投标无效：</w:t>
      </w:r>
    </w:p>
    <w:p>
      <w:pPr>
        <w:adjustRightInd w:val="0"/>
        <w:spacing w:line="360" w:lineRule="auto"/>
        <w:ind w:left="720"/>
        <w:rPr>
          <w:rFonts w:ascii="仿宋" w:hAnsi="仿宋" w:eastAsia="仿宋" w:cs="仿宋"/>
          <w:sz w:val="24"/>
        </w:rPr>
      </w:pPr>
      <w:r>
        <w:rPr>
          <w:rFonts w:hint="eastAsia" w:ascii="仿宋" w:hAnsi="仿宋" w:eastAsia="仿宋" w:cs="仿宋"/>
          <w:sz w:val="24"/>
        </w:rPr>
        <w:t>（1）不同投标人的投标文件由同一单位或者个人编制；</w:t>
      </w:r>
    </w:p>
    <w:p>
      <w:pPr>
        <w:adjustRightInd w:val="0"/>
        <w:spacing w:line="360" w:lineRule="auto"/>
        <w:ind w:left="720"/>
        <w:rPr>
          <w:rFonts w:ascii="仿宋" w:hAnsi="仿宋" w:eastAsia="仿宋" w:cs="仿宋"/>
          <w:sz w:val="24"/>
        </w:rPr>
      </w:pPr>
      <w:r>
        <w:rPr>
          <w:rFonts w:hint="eastAsia" w:ascii="仿宋" w:hAnsi="仿宋" w:eastAsia="仿宋" w:cs="仿宋"/>
          <w:sz w:val="24"/>
        </w:rPr>
        <w:t>（2）不同投标人委托同一单位或者个人办理投标事宜；</w:t>
      </w:r>
    </w:p>
    <w:p>
      <w:pPr>
        <w:adjustRightInd w:val="0"/>
        <w:spacing w:line="360" w:lineRule="auto"/>
        <w:ind w:left="720"/>
        <w:rPr>
          <w:rFonts w:ascii="仿宋" w:hAnsi="仿宋" w:eastAsia="仿宋" w:cs="仿宋"/>
          <w:sz w:val="24"/>
        </w:rPr>
      </w:pPr>
      <w:r>
        <w:rPr>
          <w:rFonts w:hint="eastAsia" w:ascii="仿宋" w:hAnsi="仿宋" w:eastAsia="仿宋" w:cs="仿宋"/>
          <w:sz w:val="24"/>
        </w:rPr>
        <w:t>（3）不同投标人的投标文件载明的项目管理成员或者联系人员为同一人；</w:t>
      </w:r>
    </w:p>
    <w:p>
      <w:pPr>
        <w:adjustRightInd w:val="0"/>
        <w:spacing w:line="360" w:lineRule="auto"/>
        <w:ind w:left="720"/>
        <w:rPr>
          <w:rFonts w:ascii="仿宋" w:hAnsi="仿宋" w:eastAsia="仿宋" w:cs="仿宋"/>
          <w:sz w:val="24"/>
        </w:rPr>
      </w:pPr>
      <w:r>
        <w:rPr>
          <w:rFonts w:hint="eastAsia" w:ascii="仿宋" w:hAnsi="仿宋" w:eastAsia="仿宋" w:cs="仿宋"/>
          <w:sz w:val="24"/>
        </w:rPr>
        <w:t>（4）不同投标人的投标文件异常一致或者投标报价呈规律性差异；</w:t>
      </w:r>
    </w:p>
    <w:p>
      <w:pPr>
        <w:adjustRightInd w:val="0"/>
        <w:spacing w:line="360" w:lineRule="auto"/>
        <w:ind w:left="720"/>
        <w:rPr>
          <w:rFonts w:hint="eastAsia" w:ascii="仿宋" w:hAnsi="仿宋" w:eastAsia="仿宋" w:cs="仿宋"/>
          <w:sz w:val="24"/>
          <w:lang w:eastAsia="zh-CN"/>
        </w:rPr>
      </w:pPr>
      <w:r>
        <w:rPr>
          <w:rFonts w:hint="eastAsia" w:ascii="仿宋" w:hAnsi="仿宋" w:eastAsia="仿宋" w:cs="仿宋"/>
          <w:sz w:val="24"/>
        </w:rPr>
        <w:t>（5）不同投标人的投标文件相互混装</w:t>
      </w:r>
      <w:r>
        <w:rPr>
          <w:rFonts w:hint="eastAsia" w:ascii="仿宋" w:hAnsi="仿宋" w:eastAsia="仿宋" w:cs="仿宋"/>
          <w:sz w:val="24"/>
          <w:lang w:eastAsia="zh-CN"/>
        </w:rPr>
        <w:t>。</w:t>
      </w:r>
    </w:p>
    <w:p>
      <w:pPr>
        <w:pStyle w:val="2"/>
      </w:pPr>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八、合同授予</w:t>
      </w:r>
    </w:p>
    <w:p>
      <w:pPr>
        <w:tabs>
          <w:tab w:val="left" w:pos="525"/>
        </w:tabs>
        <w:adjustRightInd w:val="0"/>
        <w:spacing w:line="360" w:lineRule="auto"/>
        <w:outlineLvl w:val="2"/>
        <w:rPr>
          <w:rFonts w:ascii="仿宋" w:hAnsi="仿宋" w:eastAsia="仿宋" w:cs="仿宋"/>
          <w:b/>
          <w:sz w:val="24"/>
        </w:rPr>
      </w:pPr>
      <w:bookmarkStart w:id="81" w:name="_Toc47364322"/>
      <w:bookmarkStart w:id="82" w:name="_Toc87205255"/>
      <w:r>
        <w:rPr>
          <w:rFonts w:hint="eastAsia" w:ascii="仿宋" w:hAnsi="仿宋" w:eastAsia="仿宋" w:cs="仿宋"/>
          <w:b/>
          <w:sz w:val="24"/>
        </w:rPr>
        <w:t>1</w:t>
      </w:r>
      <w:r>
        <w:rPr>
          <w:rFonts w:hint="eastAsia" w:ascii="仿宋" w:hAnsi="仿宋" w:eastAsia="仿宋" w:cs="仿宋"/>
          <w:b/>
          <w:sz w:val="24"/>
          <w:lang w:val="en-US" w:eastAsia="zh-CN"/>
        </w:rPr>
        <w:t>7</w:t>
      </w:r>
      <w:r>
        <w:rPr>
          <w:rFonts w:hint="eastAsia" w:ascii="仿宋" w:hAnsi="仿宋" w:eastAsia="仿宋" w:cs="仿宋"/>
          <w:b/>
          <w:sz w:val="24"/>
        </w:rPr>
        <w:t>.定标</w:t>
      </w:r>
      <w:bookmarkEnd w:id="81"/>
      <w:bookmarkEnd w:id="82"/>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7</w:t>
      </w:r>
      <w:r>
        <w:rPr>
          <w:rFonts w:hint="eastAsia" w:ascii="仿宋" w:hAnsi="仿宋" w:eastAsia="仿宋" w:cs="仿宋"/>
          <w:sz w:val="24"/>
        </w:rPr>
        <w:t>.1 采购人根据评标委员会出具的评审报告，确定综合评分排名第一的中标候选人为中标人。如果中标人放弃中标或出现中标无效的情形，采购人有权递补确定排名在其下一位的中标候选人为中标人，以此类推。</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7</w:t>
      </w:r>
      <w:r>
        <w:rPr>
          <w:rFonts w:hint="eastAsia" w:ascii="仿宋" w:hAnsi="仿宋" w:eastAsia="仿宋" w:cs="仿宋"/>
          <w:sz w:val="24"/>
        </w:rPr>
        <w:t>.2 中标人如果放弃中标，招标方有权依照法律规定追究其相应的法律责任。</w:t>
      </w:r>
    </w:p>
    <w:p>
      <w:pPr>
        <w:tabs>
          <w:tab w:val="left" w:pos="525"/>
        </w:tabs>
        <w:adjustRightInd w:val="0"/>
        <w:spacing w:line="360" w:lineRule="auto"/>
        <w:outlineLvl w:val="2"/>
        <w:rPr>
          <w:rFonts w:ascii="仿宋" w:hAnsi="仿宋" w:eastAsia="仿宋" w:cs="仿宋"/>
          <w:b/>
          <w:sz w:val="24"/>
        </w:rPr>
      </w:pPr>
      <w:bookmarkStart w:id="83" w:name="_Toc87205256"/>
      <w:bookmarkStart w:id="84" w:name="_Toc47364323"/>
      <w:r>
        <w:rPr>
          <w:rFonts w:hint="eastAsia" w:ascii="仿宋" w:hAnsi="仿宋" w:eastAsia="仿宋" w:cs="仿宋"/>
          <w:b/>
          <w:sz w:val="24"/>
          <w:lang w:val="en-US" w:eastAsia="zh-CN"/>
        </w:rPr>
        <w:t>18</w:t>
      </w:r>
      <w:r>
        <w:rPr>
          <w:rFonts w:hint="eastAsia" w:ascii="仿宋" w:hAnsi="仿宋" w:eastAsia="仿宋" w:cs="仿宋"/>
          <w:b/>
          <w:sz w:val="24"/>
        </w:rPr>
        <w:t>.中标通知书</w:t>
      </w:r>
      <w:bookmarkEnd w:id="83"/>
      <w:bookmarkEnd w:id="84"/>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lang w:val="en-US" w:eastAsia="zh-CN"/>
        </w:rPr>
        <w:t>18</w:t>
      </w:r>
      <w:r>
        <w:rPr>
          <w:rFonts w:hint="eastAsia" w:ascii="仿宋" w:hAnsi="仿宋" w:eastAsia="仿宋" w:cs="仿宋"/>
          <w:sz w:val="24"/>
        </w:rPr>
        <w:t>.1 采购人确定中标人后</w:t>
      </w:r>
      <w:r>
        <w:rPr>
          <w:rFonts w:hint="eastAsia" w:ascii="仿宋" w:hAnsi="仿宋" w:eastAsia="仿宋" w:cs="仿宋"/>
          <w:sz w:val="24"/>
          <w:lang w:eastAsia="zh-CN"/>
        </w:rPr>
        <w:t>，</w:t>
      </w:r>
      <w:r>
        <w:rPr>
          <w:rFonts w:hint="eastAsia" w:ascii="仿宋" w:hAnsi="仿宋" w:eastAsia="仿宋" w:cs="仿宋"/>
          <w:sz w:val="24"/>
        </w:rPr>
        <w:t>将向中标人发出中标通知书，并将中标结果</w:t>
      </w:r>
      <w:r>
        <w:rPr>
          <w:rFonts w:hint="eastAsia" w:ascii="仿宋" w:hAnsi="仿宋" w:eastAsia="仿宋" w:cs="仿宋"/>
          <w:sz w:val="24"/>
          <w:lang w:val="en-US" w:eastAsia="zh-CN"/>
        </w:rPr>
        <w:t>在西藏康城肿瘤医院官网上</w:t>
      </w:r>
      <w:r>
        <w:rPr>
          <w:rFonts w:hint="eastAsia" w:ascii="仿宋" w:hAnsi="仿宋" w:eastAsia="仿宋" w:cs="仿宋"/>
          <w:sz w:val="24"/>
        </w:rPr>
        <w:t>公告。</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lang w:val="en-US" w:eastAsia="zh-CN"/>
        </w:rPr>
        <w:t>18</w:t>
      </w:r>
      <w:r>
        <w:rPr>
          <w:rFonts w:hint="eastAsia" w:ascii="仿宋" w:hAnsi="仿宋" w:eastAsia="仿宋" w:cs="仿宋"/>
          <w:sz w:val="24"/>
        </w:rPr>
        <w:t>.2 中标通知书是合同的组成部分。</w:t>
      </w:r>
    </w:p>
    <w:p>
      <w:pPr>
        <w:tabs>
          <w:tab w:val="left" w:pos="600"/>
        </w:tabs>
        <w:adjustRightInd w:val="0"/>
        <w:spacing w:line="360" w:lineRule="auto"/>
        <w:rPr>
          <w:rFonts w:ascii="仿宋" w:hAnsi="仿宋" w:eastAsia="仿宋" w:cs="仿宋"/>
          <w:b/>
          <w:sz w:val="24"/>
        </w:rPr>
      </w:pPr>
      <w:r>
        <w:rPr>
          <w:rFonts w:hint="eastAsia" w:ascii="仿宋" w:hAnsi="仿宋" w:eastAsia="仿宋" w:cs="仿宋"/>
          <w:sz w:val="24"/>
          <w:lang w:val="en-US" w:eastAsia="zh-CN"/>
        </w:rPr>
        <w:t>18</w:t>
      </w:r>
      <w:r>
        <w:rPr>
          <w:rFonts w:hint="eastAsia" w:ascii="仿宋" w:hAnsi="仿宋" w:eastAsia="仿宋" w:cs="仿宋"/>
          <w:sz w:val="24"/>
        </w:rPr>
        <w:t>.3 对未通过资格审查、符合性检查的投标人，将告知其未通过的原因；对通过资格审查和符合性检查但未中标的投标人，将告知其本人的评审得分与排序。</w:t>
      </w:r>
    </w:p>
    <w:p>
      <w:pPr>
        <w:tabs>
          <w:tab w:val="left" w:pos="525"/>
        </w:tabs>
        <w:adjustRightInd w:val="0"/>
        <w:spacing w:line="360" w:lineRule="auto"/>
        <w:outlineLvl w:val="2"/>
        <w:rPr>
          <w:rFonts w:ascii="仿宋" w:hAnsi="仿宋" w:eastAsia="仿宋" w:cs="仿宋"/>
          <w:b/>
          <w:sz w:val="24"/>
        </w:rPr>
      </w:pPr>
      <w:bookmarkStart w:id="85" w:name="_Toc47364324"/>
      <w:bookmarkStart w:id="86" w:name="_Toc87205257"/>
      <w:r>
        <w:rPr>
          <w:rFonts w:hint="eastAsia" w:ascii="仿宋" w:hAnsi="仿宋" w:eastAsia="仿宋" w:cs="仿宋"/>
          <w:b/>
          <w:sz w:val="24"/>
          <w:lang w:val="en-US" w:eastAsia="zh-CN"/>
        </w:rPr>
        <w:t>19</w:t>
      </w:r>
      <w:r>
        <w:rPr>
          <w:rFonts w:hint="eastAsia" w:ascii="仿宋" w:hAnsi="仿宋" w:eastAsia="仿宋" w:cs="仿宋"/>
          <w:b/>
          <w:sz w:val="24"/>
        </w:rPr>
        <w:t>.签订合同</w:t>
      </w:r>
      <w:bookmarkEnd w:id="85"/>
      <w:bookmarkEnd w:id="86"/>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lang w:val="en-US" w:eastAsia="zh-CN"/>
        </w:rPr>
        <w:t>19</w:t>
      </w:r>
      <w:r>
        <w:rPr>
          <w:rFonts w:hint="eastAsia" w:ascii="仿宋" w:hAnsi="仿宋" w:eastAsia="仿宋" w:cs="仿宋"/>
          <w:sz w:val="24"/>
        </w:rPr>
        <w:t>.1 中标人应当在中标通知书发出之日起</w:t>
      </w:r>
      <w:r>
        <w:rPr>
          <w:rFonts w:hint="eastAsia" w:ascii="仿宋" w:hAnsi="仿宋" w:eastAsia="仿宋" w:cs="仿宋"/>
          <w:sz w:val="24"/>
          <w:lang w:val="en-US" w:eastAsia="zh-CN"/>
        </w:rPr>
        <w:t>10</w:t>
      </w:r>
      <w:r>
        <w:rPr>
          <w:rFonts w:hint="eastAsia" w:ascii="仿宋" w:hAnsi="仿宋" w:eastAsia="仿宋" w:cs="仿宋"/>
          <w:sz w:val="24"/>
        </w:rPr>
        <w:t>日内与采购人签订合同，由于中标人自身原因未及时签订合同的，招标方可以视为中标人放弃中标，中标人应当承担相应法律后果。在此种情况下，采购人可以按中标候选人顺序将标授予下一个中标候选人。</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lang w:val="en-US" w:eastAsia="zh-CN"/>
        </w:rPr>
        <w:t>19</w:t>
      </w:r>
      <w:r>
        <w:rPr>
          <w:rFonts w:hint="eastAsia" w:ascii="仿宋" w:hAnsi="仿宋" w:eastAsia="仿宋" w:cs="仿宋"/>
          <w:sz w:val="24"/>
        </w:rPr>
        <w:t>.2 招标文件、中标人的投标文件及其双方确认的澄清文件等，均为有法律约束力的合同组成部分。</w:t>
      </w:r>
    </w:p>
    <w:p>
      <w:pPr>
        <w:tabs>
          <w:tab w:val="left" w:pos="600"/>
        </w:tabs>
        <w:adjustRightInd w:val="0"/>
        <w:spacing w:line="360" w:lineRule="auto"/>
        <w:rPr>
          <w:rFonts w:ascii="仿宋" w:hAnsi="仿宋" w:eastAsia="仿宋" w:cs="仿宋"/>
          <w:bCs/>
          <w:sz w:val="24"/>
        </w:rPr>
      </w:pPr>
      <w:r>
        <w:rPr>
          <w:rFonts w:hint="eastAsia" w:ascii="仿宋" w:hAnsi="仿宋" w:eastAsia="仿宋" w:cs="仿宋"/>
          <w:bCs/>
          <w:sz w:val="24"/>
          <w:lang w:val="en-US" w:eastAsia="zh-CN"/>
        </w:rPr>
        <w:t>19</w:t>
      </w:r>
      <w:r>
        <w:rPr>
          <w:rFonts w:hint="eastAsia" w:ascii="仿宋" w:hAnsi="仿宋" w:eastAsia="仿宋" w:cs="仿宋"/>
          <w:bCs/>
          <w:sz w:val="24"/>
        </w:rPr>
        <w:t>.3 招标文件所附《合同条款及格式》是采购人与中标人签订合同的基本条款，投标人应认真阅读，在没有实质性违反招标文件及投标文件的前提下，采购人有权在合同签订前对合同条款进行适当修改、增加、删除，中标人不得以此为由拒绝签订合同。对此，请投标人参加投标前慎重考虑相关商业风险。</w:t>
      </w:r>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九、质疑与投诉</w:t>
      </w:r>
    </w:p>
    <w:p>
      <w:pPr>
        <w:adjustRightInd w:val="0"/>
        <w:spacing w:line="360" w:lineRule="auto"/>
        <w:outlineLvl w:val="2"/>
        <w:rPr>
          <w:rFonts w:ascii="仿宋" w:hAnsi="仿宋" w:eastAsia="仿宋" w:cs="仿宋"/>
          <w:b/>
          <w:sz w:val="24"/>
        </w:rPr>
      </w:pPr>
      <w:bookmarkStart w:id="87" w:name="_Toc87205258"/>
      <w:bookmarkStart w:id="88" w:name="_Toc47364325"/>
      <w:r>
        <w:rPr>
          <w:rFonts w:hint="eastAsia" w:ascii="仿宋" w:hAnsi="仿宋" w:eastAsia="仿宋" w:cs="仿宋"/>
          <w:b/>
          <w:sz w:val="24"/>
          <w:lang w:val="en-US" w:eastAsia="zh-CN"/>
        </w:rPr>
        <w:t>20</w:t>
      </w:r>
      <w:r>
        <w:rPr>
          <w:rFonts w:hint="eastAsia" w:ascii="仿宋" w:hAnsi="仿宋" w:eastAsia="仿宋" w:cs="仿宋"/>
          <w:b/>
          <w:sz w:val="24"/>
        </w:rPr>
        <w:t>.投标人质疑</w:t>
      </w:r>
      <w:bookmarkEnd w:id="87"/>
      <w:bookmarkEnd w:id="88"/>
    </w:p>
    <w:p>
      <w:pPr>
        <w:adjustRightInd w:val="0"/>
        <w:spacing w:line="360" w:lineRule="auto"/>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0</w:t>
      </w:r>
      <w:r>
        <w:rPr>
          <w:rFonts w:hint="eastAsia" w:ascii="仿宋" w:hAnsi="仿宋" w:eastAsia="仿宋" w:cs="仿宋"/>
          <w:sz w:val="24"/>
        </w:rPr>
        <w:t>.1 供应商认为采购文件、采购过程和中标（成交）结果使自己的权益受到损害的，可以在知道或者应知其权益受到损害之日起7个工作日内，以书面形式提出质疑。</w:t>
      </w:r>
    </w:p>
    <w:p>
      <w:pPr>
        <w:adjustRightInd w:val="0"/>
        <w:spacing w:line="360" w:lineRule="auto"/>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0</w:t>
      </w:r>
      <w:r>
        <w:rPr>
          <w:rFonts w:hint="eastAsia" w:ascii="仿宋" w:hAnsi="仿宋" w:eastAsia="仿宋" w:cs="仿宋"/>
          <w:sz w:val="24"/>
        </w:rPr>
        <w:t>.2 在法定质疑期内，供应商针对同一采购程序环节，只能提出一次质疑。在同一采购程序环节有多个质疑事项的，供应商须一次性提出。</w:t>
      </w:r>
    </w:p>
    <w:p>
      <w:pPr>
        <w:adjustRightInd w:val="0"/>
        <w:spacing w:line="360" w:lineRule="auto"/>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0</w:t>
      </w:r>
      <w:r>
        <w:rPr>
          <w:rFonts w:hint="eastAsia" w:ascii="仿宋" w:hAnsi="仿宋" w:eastAsia="仿宋" w:cs="仿宋"/>
          <w:sz w:val="24"/>
        </w:rPr>
        <w:t>.3 提出质疑的供应商应当是参与本项目采购活动的供应商。</w:t>
      </w:r>
    </w:p>
    <w:p>
      <w:pPr>
        <w:adjustRightInd w:val="0"/>
        <w:spacing w:line="360" w:lineRule="auto"/>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0</w:t>
      </w:r>
      <w:r>
        <w:rPr>
          <w:rFonts w:hint="eastAsia" w:ascii="仿宋" w:hAnsi="仿宋" w:eastAsia="仿宋" w:cs="仿宋"/>
          <w:sz w:val="24"/>
        </w:rPr>
        <w:t>.4 供应商可以委托代理人进行质疑。由代理人提出质疑的，须提交供应商针对当次质疑签署的授权委托书。授权委托书应当载明代理人的姓名或者名称、代理事项、具体权限、期限和相关事项。供应商为自然人的，应当由本人签字；供应商为法人或者其他组织的，应当由法定代表人、主要负责人签字或者签章，并加盖供应商公章。</w:t>
      </w:r>
    </w:p>
    <w:p>
      <w:pPr>
        <w:adjustRightInd w:val="0"/>
        <w:spacing w:line="360" w:lineRule="auto"/>
        <w:rPr>
          <w:rFonts w:ascii="仿宋" w:hAnsi="仿宋" w:eastAsia="仿宋" w:cs="仿宋"/>
          <w:sz w:val="24"/>
        </w:rPr>
      </w:pPr>
      <w:r>
        <w:rPr>
          <w:rFonts w:hint="eastAsia" w:ascii="仿宋" w:hAnsi="仿宋" w:eastAsia="仿宋" w:cs="仿宋"/>
          <w:sz w:val="24"/>
        </w:rPr>
        <w:t>22.5 供应商提出质疑应当提交质疑函和必要的证明材料。质疑函应当包括下列内容：</w:t>
      </w:r>
    </w:p>
    <w:p>
      <w:pPr>
        <w:adjustRightInd w:val="0"/>
        <w:spacing w:line="360" w:lineRule="auto"/>
        <w:ind w:left="601"/>
        <w:rPr>
          <w:rFonts w:ascii="仿宋" w:hAnsi="仿宋" w:eastAsia="仿宋" w:cs="仿宋"/>
          <w:sz w:val="24"/>
        </w:rPr>
      </w:pPr>
      <w:r>
        <w:rPr>
          <w:rFonts w:hint="eastAsia" w:ascii="仿宋" w:hAnsi="仿宋" w:eastAsia="仿宋" w:cs="仿宋"/>
          <w:sz w:val="24"/>
        </w:rPr>
        <w:t>（一）供应商的姓名或者名称、地址、邮编、联系人及联系电话；</w:t>
      </w:r>
    </w:p>
    <w:p>
      <w:pPr>
        <w:adjustRightInd w:val="0"/>
        <w:spacing w:line="360" w:lineRule="auto"/>
        <w:ind w:left="601"/>
        <w:rPr>
          <w:rFonts w:ascii="仿宋" w:hAnsi="仿宋" w:eastAsia="仿宋" w:cs="仿宋"/>
          <w:sz w:val="24"/>
        </w:rPr>
      </w:pPr>
      <w:r>
        <w:rPr>
          <w:rFonts w:hint="eastAsia" w:ascii="仿宋" w:hAnsi="仿宋" w:eastAsia="仿宋" w:cs="仿宋"/>
          <w:sz w:val="24"/>
        </w:rPr>
        <w:t>（二）质疑项目的名称、编号；</w:t>
      </w:r>
    </w:p>
    <w:p>
      <w:pPr>
        <w:adjustRightInd w:val="0"/>
        <w:spacing w:line="360" w:lineRule="auto"/>
        <w:ind w:left="601"/>
        <w:rPr>
          <w:rFonts w:ascii="仿宋" w:hAnsi="仿宋" w:eastAsia="仿宋" w:cs="仿宋"/>
          <w:sz w:val="24"/>
        </w:rPr>
      </w:pPr>
      <w:r>
        <w:rPr>
          <w:rFonts w:hint="eastAsia" w:ascii="仿宋" w:hAnsi="仿宋" w:eastAsia="仿宋" w:cs="仿宋"/>
          <w:sz w:val="24"/>
        </w:rPr>
        <w:t>（三）具体、明确的质疑事项和与质疑事项相关的请求；</w:t>
      </w:r>
    </w:p>
    <w:p>
      <w:pPr>
        <w:adjustRightInd w:val="0"/>
        <w:spacing w:line="360" w:lineRule="auto"/>
        <w:ind w:left="601"/>
        <w:rPr>
          <w:rFonts w:ascii="仿宋" w:hAnsi="仿宋" w:eastAsia="仿宋" w:cs="仿宋"/>
          <w:sz w:val="24"/>
        </w:rPr>
      </w:pPr>
      <w:r>
        <w:rPr>
          <w:rFonts w:hint="eastAsia" w:ascii="仿宋" w:hAnsi="仿宋" w:eastAsia="仿宋" w:cs="仿宋"/>
          <w:sz w:val="24"/>
        </w:rPr>
        <w:t>（四）事实依据；</w:t>
      </w:r>
    </w:p>
    <w:p>
      <w:pPr>
        <w:adjustRightInd w:val="0"/>
        <w:spacing w:line="360" w:lineRule="auto"/>
        <w:ind w:left="601"/>
        <w:rPr>
          <w:rFonts w:ascii="仿宋" w:hAnsi="仿宋" w:eastAsia="仿宋" w:cs="仿宋"/>
          <w:sz w:val="24"/>
        </w:rPr>
      </w:pPr>
      <w:r>
        <w:rPr>
          <w:rFonts w:hint="eastAsia" w:ascii="仿宋" w:hAnsi="仿宋" w:eastAsia="仿宋" w:cs="仿宋"/>
          <w:sz w:val="24"/>
        </w:rPr>
        <w:t>（五）必要的法律依据；</w:t>
      </w:r>
    </w:p>
    <w:p>
      <w:pPr>
        <w:adjustRightInd w:val="0"/>
        <w:spacing w:line="360" w:lineRule="auto"/>
        <w:ind w:left="601"/>
        <w:rPr>
          <w:rFonts w:ascii="仿宋" w:hAnsi="仿宋" w:eastAsia="仿宋" w:cs="仿宋"/>
          <w:sz w:val="24"/>
        </w:rPr>
      </w:pPr>
      <w:r>
        <w:rPr>
          <w:rFonts w:hint="eastAsia" w:ascii="仿宋" w:hAnsi="仿宋" w:eastAsia="仿宋" w:cs="仿宋"/>
          <w:sz w:val="24"/>
        </w:rPr>
        <w:t>（六）提出质疑的日期。</w:t>
      </w:r>
    </w:p>
    <w:p>
      <w:pPr>
        <w:adjustRightInd w:val="0"/>
        <w:spacing w:line="360" w:lineRule="auto"/>
        <w:ind w:left="601"/>
        <w:rPr>
          <w:rFonts w:ascii="仿宋" w:hAnsi="仿宋" w:eastAsia="仿宋" w:cs="仿宋"/>
          <w:sz w:val="24"/>
        </w:rPr>
      </w:pPr>
      <w:r>
        <w:rPr>
          <w:rFonts w:hint="eastAsia" w:ascii="仿宋" w:hAnsi="仿宋" w:eastAsia="仿宋" w:cs="仿宋"/>
          <w:sz w:val="24"/>
        </w:rPr>
        <w:t>供应商为自然人的，应当由本人签字；供应商为法人或者其他组织的，应当由法定代表人、主要负责人及其授权代表签字或者签章，并加盖供应商公章。</w:t>
      </w:r>
    </w:p>
    <w:p>
      <w:pPr>
        <w:adjustRightInd w:val="0"/>
        <w:spacing w:line="360" w:lineRule="auto"/>
        <w:rPr>
          <w:rFonts w:ascii="仿宋" w:hAnsi="仿宋" w:eastAsia="仿宋" w:cs="仿宋"/>
          <w:sz w:val="24"/>
        </w:rPr>
      </w:pPr>
      <w:r>
        <w:rPr>
          <w:rFonts w:hint="eastAsia" w:ascii="仿宋" w:hAnsi="仿宋" w:eastAsia="仿宋" w:cs="仿宋"/>
          <w:sz w:val="24"/>
        </w:rPr>
        <w:t>22.6 供应商提交的质疑函须按照《政府采购质疑和投诉办法》规定的格式填写，并由法定代表人或授权代表当面提交。提交时，须同时出示法定代表人或其授权代表的身份证原件。</w:t>
      </w:r>
    </w:p>
    <w:p>
      <w:pPr>
        <w:adjustRightInd w:val="0"/>
        <w:spacing w:line="360" w:lineRule="auto"/>
        <w:rPr>
          <w:rFonts w:ascii="仿宋" w:hAnsi="仿宋" w:eastAsia="仿宋" w:cs="仿宋"/>
          <w:sz w:val="24"/>
        </w:rPr>
      </w:pPr>
      <w:r>
        <w:rPr>
          <w:rFonts w:hint="eastAsia" w:ascii="仿宋" w:hAnsi="仿宋" w:eastAsia="仿宋" w:cs="仿宋"/>
          <w:sz w:val="24"/>
        </w:rPr>
        <w:t>22.7 不符合上述21.1-21.7款规定的质疑函不予受理。</w:t>
      </w:r>
    </w:p>
    <w:p>
      <w:pPr>
        <w:adjustRightInd w:val="0"/>
        <w:spacing w:line="360" w:lineRule="auto"/>
        <w:rPr>
          <w:rFonts w:ascii="仿宋" w:hAnsi="仿宋" w:eastAsia="仿宋" w:cs="仿宋"/>
          <w:sz w:val="24"/>
        </w:rPr>
      </w:pPr>
      <w:r>
        <w:rPr>
          <w:rFonts w:hint="eastAsia" w:ascii="仿宋" w:hAnsi="仿宋" w:eastAsia="仿宋" w:cs="仿宋"/>
          <w:sz w:val="24"/>
        </w:rPr>
        <w:t>22.8 采购人或采购代理机构将在收到质疑函后7个工作日内作出答复，并以书面形式通知质疑投标人和其他有关投标人，但答复的内容不涉及商业秘密。</w:t>
      </w:r>
    </w:p>
    <w:p>
      <w:pPr>
        <w:tabs>
          <w:tab w:val="left" w:pos="525"/>
        </w:tabs>
        <w:adjustRightInd w:val="0"/>
        <w:spacing w:line="360" w:lineRule="auto"/>
        <w:outlineLvl w:val="2"/>
        <w:rPr>
          <w:rFonts w:ascii="仿宋" w:hAnsi="仿宋" w:eastAsia="仿宋" w:cs="仿宋"/>
          <w:b/>
          <w:sz w:val="24"/>
        </w:rPr>
      </w:pPr>
      <w:bookmarkStart w:id="89" w:name="_Toc47364326"/>
      <w:bookmarkStart w:id="90" w:name="_Toc87205259"/>
      <w:r>
        <w:rPr>
          <w:rFonts w:hint="eastAsia" w:ascii="仿宋" w:hAnsi="仿宋" w:eastAsia="仿宋" w:cs="仿宋"/>
          <w:b/>
          <w:sz w:val="24"/>
        </w:rPr>
        <w:t>23.投标人投诉</w:t>
      </w:r>
      <w:bookmarkEnd w:id="89"/>
      <w:bookmarkEnd w:id="90"/>
    </w:p>
    <w:p>
      <w:pPr>
        <w:tabs>
          <w:tab w:val="left" w:pos="525"/>
        </w:tabs>
        <w:adjustRightInd w:val="0"/>
        <w:spacing w:line="360" w:lineRule="auto"/>
        <w:outlineLvl w:val="2"/>
        <w:rPr>
          <w:rFonts w:ascii="仿宋" w:hAnsi="仿宋" w:eastAsia="仿宋" w:cs="仿宋"/>
          <w:sz w:val="24"/>
        </w:rPr>
      </w:pPr>
      <w:bookmarkStart w:id="91" w:name="_Toc87205260"/>
      <w:bookmarkStart w:id="92" w:name="_Toc47364327"/>
      <w:r>
        <w:rPr>
          <w:rFonts w:hint="eastAsia" w:ascii="仿宋" w:hAnsi="仿宋" w:eastAsia="仿宋" w:cs="仿宋"/>
          <w:sz w:val="24"/>
        </w:rPr>
        <w:t>质疑投标人对采购人或采购代理机构的答复不满意以及采购人或采购代理机构未在规定的时间内做出答复的，可以在答复期满后15个工作日内向财政监管部门提起投诉。</w:t>
      </w:r>
      <w:bookmarkEnd w:id="91"/>
      <w:bookmarkEnd w:id="92"/>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十、其他事项</w:t>
      </w:r>
    </w:p>
    <w:p>
      <w:pPr>
        <w:adjustRightInd w:val="0"/>
        <w:spacing w:line="360" w:lineRule="auto"/>
        <w:outlineLvl w:val="2"/>
        <w:rPr>
          <w:rFonts w:ascii="仿宋" w:hAnsi="仿宋" w:eastAsia="仿宋" w:cs="仿宋"/>
          <w:b/>
          <w:sz w:val="24"/>
        </w:rPr>
      </w:pPr>
      <w:bookmarkStart w:id="93" w:name="_Toc47364328"/>
      <w:bookmarkStart w:id="94" w:name="_Toc87205261"/>
      <w:r>
        <w:rPr>
          <w:rFonts w:hint="eastAsia" w:ascii="仿宋" w:hAnsi="仿宋" w:eastAsia="仿宋" w:cs="仿宋"/>
          <w:b/>
          <w:sz w:val="24"/>
        </w:rPr>
        <w:t>24.废标</w:t>
      </w:r>
      <w:bookmarkEnd w:id="93"/>
      <w:bookmarkEnd w:id="94"/>
    </w:p>
    <w:p>
      <w:pPr>
        <w:adjustRightInd w:val="0"/>
        <w:spacing w:line="360" w:lineRule="auto"/>
        <w:outlineLvl w:val="2"/>
        <w:rPr>
          <w:rFonts w:ascii="仿宋" w:hAnsi="仿宋" w:eastAsia="仿宋" w:cs="仿宋"/>
          <w:sz w:val="24"/>
        </w:rPr>
      </w:pPr>
      <w:bookmarkStart w:id="95" w:name="_Toc87205262"/>
      <w:bookmarkStart w:id="96" w:name="_Toc47364329"/>
      <w:r>
        <w:rPr>
          <w:rFonts w:hint="eastAsia" w:ascii="仿宋" w:hAnsi="仿宋" w:eastAsia="仿宋" w:cs="仿宋"/>
          <w:sz w:val="24"/>
        </w:rPr>
        <w:t>本项目出现《政府采购法》第三十六条规定的废标情形时，招标方有权宣布废标，招标方对受影响的投标人不承担任何责任，但因招标方出现影响采购公正的违法、违规行为引起的废标情形除外。如果项目分包，将以包为单位执行。</w:t>
      </w:r>
      <w:bookmarkEnd w:id="95"/>
      <w:bookmarkEnd w:id="96"/>
    </w:p>
    <w:p>
      <w:pPr>
        <w:adjustRightInd w:val="0"/>
        <w:spacing w:line="360" w:lineRule="auto"/>
        <w:outlineLvl w:val="2"/>
        <w:rPr>
          <w:rFonts w:ascii="仿宋" w:hAnsi="仿宋" w:eastAsia="仿宋" w:cs="仿宋"/>
          <w:b/>
          <w:sz w:val="24"/>
        </w:rPr>
      </w:pPr>
      <w:bookmarkStart w:id="97" w:name="_Toc87205263"/>
      <w:bookmarkStart w:id="98" w:name="_Toc47364330"/>
      <w:r>
        <w:rPr>
          <w:rFonts w:hint="eastAsia" w:ascii="仿宋" w:hAnsi="仿宋" w:eastAsia="仿宋" w:cs="仿宋"/>
          <w:b/>
          <w:sz w:val="24"/>
        </w:rPr>
        <w:t>25.履约保证金</w:t>
      </w:r>
      <w:bookmarkEnd w:id="97"/>
      <w:bookmarkEnd w:id="98"/>
    </w:p>
    <w:p>
      <w:pPr>
        <w:adjustRightInd w:val="0"/>
        <w:spacing w:line="360" w:lineRule="auto"/>
        <w:outlineLvl w:val="2"/>
        <w:rPr>
          <w:rFonts w:ascii="仿宋" w:hAnsi="仿宋" w:eastAsia="仿宋" w:cs="仿宋"/>
          <w:sz w:val="24"/>
        </w:rPr>
      </w:pPr>
      <w:bookmarkStart w:id="99" w:name="_Toc47364331"/>
      <w:bookmarkStart w:id="100" w:name="_Toc87205264"/>
      <w:r>
        <w:rPr>
          <w:rFonts w:hint="eastAsia" w:ascii="仿宋" w:hAnsi="仿宋" w:eastAsia="仿宋" w:cs="仿宋"/>
          <w:sz w:val="24"/>
        </w:rPr>
        <w:t>按照合同约定执行。</w:t>
      </w:r>
      <w:bookmarkEnd w:id="99"/>
      <w:bookmarkEnd w:id="100"/>
    </w:p>
    <w:p>
      <w:pPr>
        <w:adjustRightInd w:val="0"/>
        <w:spacing w:line="360" w:lineRule="auto"/>
        <w:outlineLvl w:val="2"/>
        <w:rPr>
          <w:rFonts w:ascii="仿宋" w:hAnsi="仿宋" w:eastAsia="仿宋" w:cs="仿宋"/>
          <w:b/>
          <w:sz w:val="24"/>
        </w:rPr>
      </w:pPr>
      <w:bookmarkStart w:id="101" w:name="_Toc87205265"/>
      <w:bookmarkStart w:id="102" w:name="_Toc47364332"/>
      <w:r>
        <w:rPr>
          <w:rFonts w:hint="eastAsia" w:ascii="仿宋" w:hAnsi="仿宋" w:eastAsia="仿宋" w:cs="仿宋"/>
          <w:b/>
          <w:sz w:val="24"/>
        </w:rPr>
        <w:t>26.履约监管</w:t>
      </w:r>
      <w:bookmarkEnd w:id="101"/>
      <w:bookmarkEnd w:id="102"/>
    </w:p>
    <w:p>
      <w:pPr>
        <w:adjustRightInd w:val="0"/>
        <w:spacing w:line="360" w:lineRule="auto"/>
        <w:outlineLvl w:val="2"/>
        <w:rPr>
          <w:rFonts w:ascii="仿宋" w:hAnsi="仿宋" w:eastAsia="仿宋" w:cs="仿宋"/>
          <w:bCs/>
          <w:sz w:val="24"/>
        </w:rPr>
      </w:pPr>
      <w:bookmarkStart w:id="103" w:name="_Toc87205266"/>
      <w:bookmarkStart w:id="104" w:name="_Toc47364333"/>
      <w:r>
        <w:rPr>
          <w:rFonts w:hint="eastAsia" w:ascii="仿宋" w:hAnsi="仿宋" w:eastAsia="仿宋" w:cs="仿宋"/>
          <w:bCs/>
          <w:sz w:val="24"/>
        </w:rPr>
        <w:t>为保障国有资金的使用效益，促进中标供应商严格履约，采购</w:t>
      </w:r>
      <w:r>
        <w:rPr>
          <w:rFonts w:hint="eastAsia" w:ascii="仿宋" w:hAnsi="仿宋" w:eastAsia="仿宋" w:cs="仿宋"/>
          <w:bCs/>
          <w:sz w:val="24"/>
          <w:lang w:val="en-US" w:eastAsia="zh-CN"/>
        </w:rPr>
        <w:t>人</w:t>
      </w:r>
      <w:r>
        <w:rPr>
          <w:rFonts w:hint="eastAsia" w:ascii="仿宋" w:hAnsi="仿宋" w:eastAsia="仿宋" w:cs="仿宋"/>
          <w:bCs/>
          <w:sz w:val="24"/>
        </w:rPr>
        <w:t>将对本项目的履约情况进行跟踪督查。中标供应商在项目实施过程中，如存在供货进度、数量、质量、安全等违约情况，除采购人可依据采购合同追究其民事责任外，采购</w:t>
      </w:r>
      <w:r>
        <w:rPr>
          <w:rFonts w:hint="eastAsia" w:ascii="仿宋" w:hAnsi="仿宋" w:eastAsia="仿宋" w:cs="仿宋"/>
          <w:bCs/>
          <w:sz w:val="24"/>
          <w:lang w:val="en-US" w:eastAsia="zh-CN"/>
        </w:rPr>
        <w:t>人</w:t>
      </w:r>
      <w:r>
        <w:rPr>
          <w:rFonts w:hint="eastAsia" w:ascii="仿宋" w:hAnsi="仿宋" w:eastAsia="仿宋" w:cs="仿宋"/>
          <w:bCs/>
          <w:sz w:val="24"/>
        </w:rPr>
        <w:t>有权将中标供应商的违约情况报告财政监管部门。</w:t>
      </w:r>
      <w:bookmarkEnd w:id="103"/>
      <w:bookmarkEnd w:id="104"/>
    </w:p>
    <w:p>
      <w:pPr>
        <w:pStyle w:val="2"/>
        <w:rPr>
          <w:rFonts w:hint="eastAsia"/>
        </w:rPr>
      </w:pPr>
      <w:r>
        <w:rPr>
          <w:rFonts w:hint="eastAsia"/>
        </w:rPr>
        <w:br w:type="page"/>
      </w:r>
      <w:bookmarkEnd w:id="41"/>
      <w:bookmarkEnd w:id="42"/>
      <w:bookmarkEnd w:id="43"/>
      <w:bookmarkEnd w:id="44"/>
      <w:bookmarkStart w:id="105" w:name="_Toc47416189"/>
      <w:bookmarkStart w:id="106" w:name="_Toc22319"/>
      <w:bookmarkStart w:id="107" w:name="_Toc49019228"/>
    </w:p>
    <w:p>
      <w:pPr>
        <w:spacing w:line="480" w:lineRule="exact"/>
        <w:jc w:val="center"/>
        <w:rPr>
          <w:rFonts w:ascii="仿宋_GB2312" w:hAnsi="黑体" w:eastAsia="仿宋_GB2312"/>
          <w:bCs/>
          <w:color w:val="000000"/>
          <w:sz w:val="32"/>
          <w:szCs w:val="32"/>
          <w:lang w:eastAsia="zh-CN"/>
        </w:rPr>
      </w:pPr>
      <w:r>
        <w:rPr>
          <w:rFonts w:hint="eastAsia" w:ascii="仿宋_GB2312" w:hAnsi="黑体" w:eastAsia="仿宋_GB2312"/>
          <w:bCs/>
          <w:color w:val="000000"/>
          <w:sz w:val="32"/>
          <w:szCs w:val="32"/>
          <w:lang w:eastAsia="zh-CN"/>
        </w:rPr>
        <w:t xml:space="preserve">                         </w:t>
      </w:r>
      <w:r>
        <w:rPr>
          <w:rFonts w:hint="eastAsia" w:ascii="仿宋_GB2312" w:hAnsi="宋体" w:eastAsia="仿宋_GB2312"/>
          <w:sz w:val="28"/>
          <w:szCs w:val="28"/>
          <w:lang w:eastAsia="zh-CN"/>
        </w:rPr>
        <w:t>合同编号：</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u w:val="single"/>
          <w:lang w:eastAsia="zh-CN"/>
        </w:rPr>
        <w:t xml:space="preserve">   </w:t>
      </w:r>
    </w:p>
    <w:p>
      <w:pPr>
        <w:spacing w:line="480" w:lineRule="exact"/>
        <w:jc w:val="center"/>
        <w:rPr>
          <w:rFonts w:ascii="方正小标宋简体" w:hAnsi="黑体" w:eastAsia="方正小标宋简体"/>
          <w:b/>
          <w:bCs/>
          <w:color w:val="000000"/>
          <w:sz w:val="44"/>
          <w:szCs w:val="44"/>
          <w:lang w:eastAsia="zh-CN"/>
        </w:rPr>
      </w:pPr>
    </w:p>
    <w:p>
      <w:pPr>
        <w:spacing w:line="480" w:lineRule="exact"/>
        <w:jc w:val="center"/>
        <w:rPr>
          <w:rFonts w:ascii="小标宋" w:hAnsi="黑体" w:eastAsia="小标宋"/>
          <w:bCs/>
          <w:color w:val="000000"/>
          <w:sz w:val="36"/>
          <w:szCs w:val="36"/>
          <w:lang w:eastAsia="zh-CN"/>
        </w:rPr>
      </w:pPr>
      <w:r>
        <w:rPr>
          <w:rFonts w:hint="eastAsia" w:ascii="小标宋" w:hAnsi="黑体" w:eastAsia="小标宋"/>
          <w:bCs/>
          <w:color w:val="000000"/>
          <w:sz w:val="36"/>
          <w:szCs w:val="36"/>
          <w:lang w:val="en-US" w:eastAsia="zh-CN"/>
        </w:rPr>
        <w:t>西藏康城肿瘤医院</w:t>
      </w:r>
      <w:r>
        <w:rPr>
          <w:rFonts w:hint="eastAsia" w:ascii="小标宋" w:hAnsi="黑体" w:eastAsia="小标宋"/>
          <w:bCs/>
          <w:color w:val="000000"/>
          <w:sz w:val="36"/>
          <w:szCs w:val="36"/>
          <w:lang w:eastAsia="zh-CN"/>
        </w:rPr>
        <w:t>采购购销合同</w:t>
      </w:r>
    </w:p>
    <w:p>
      <w:pPr>
        <w:spacing w:line="480" w:lineRule="exact"/>
        <w:jc w:val="center"/>
        <w:rPr>
          <w:rFonts w:ascii="仿宋_GB2312" w:eastAsia="仿宋_GB2312"/>
          <w:b/>
          <w:sz w:val="32"/>
          <w:szCs w:val="32"/>
          <w:lang w:eastAsia="zh-CN"/>
        </w:rPr>
      </w:pPr>
    </w:p>
    <w:p>
      <w:pPr>
        <w:spacing w:line="480" w:lineRule="exact"/>
        <w:ind w:firstLine="594" w:firstLineChars="198"/>
        <w:rPr>
          <w:rFonts w:ascii="黑体" w:hAnsi="黑体" w:eastAsia="黑体"/>
          <w:sz w:val="30"/>
          <w:szCs w:val="30"/>
          <w:lang w:eastAsia="zh-CN"/>
        </w:rPr>
      </w:pPr>
      <w:r>
        <w:rPr>
          <w:rFonts w:hint="eastAsia" w:ascii="黑体" w:hAnsi="黑体" w:eastAsia="黑体"/>
          <w:sz w:val="30"/>
          <w:szCs w:val="30"/>
          <w:lang w:eastAsia="zh-CN"/>
        </w:rPr>
        <w:t>甲方（医疗卫生机构）：</w:t>
      </w:r>
      <w:r>
        <w:rPr>
          <w:rFonts w:ascii="黑体" w:hAnsi="黑体" w:eastAsia="黑体"/>
          <w:sz w:val="30"/>
          <w:szCs w:val="30"/>
          <w:u w:val="single"/>
          <w:lang w:eastAsia="zh-CN"/>
        </w:rPr>
        <w:t xml:space="preserve">                          </w:t>
      </w:r>
    </w:p>
    <w:p>
      <w:pPr>
        <w:spacing w:line="480" w:lineRule="exact"/>
        <w:ind w:firstLine="594" w:firstLineChars="198"/>
        <w:rPr>
          <w:rFonts w:hint="eastAsia" w:ascii="黑体" w:hAnsi="黑体" w:eastAsia="黑体"/>
          <w:sz w:val="30"/>
          <w:szCs w:val="30"/>
          <w:lang w:eastAsia="zh-CN"/>
        </w:rPr>
      </w:pPr>
      <w:r>
        <w:rPr>
          <w:rFonts w:hint="eastAsia" w:ascii="黑体" w:hAnsi="黑体" w:eastAsia="黑体"/>
          <w:sz w:val="30"/>
          <w:szCs w:val="30"/>
          <w:lang w:eastAsia="zh-CN"/>
        </w:rPr>
        <w:t>乙方</w:t>
      </w:r>
      <w:r>
        <w:rPr>
          <w:rFonts w:hint="eastAsia" w:ascii="黑体" w:hAnsi="黑体" w:eastAsia="黑体"/>
          <w:color w:val="000000"/>
          <w:sz w:val="30"/>
          <w:szCs w:val="30"/>
          <w:lang w:eastAsia="zh-CN"/>
        </w:rPr>
        <w:t>（供货企业</w:t>
      </w:r>
      <w:r>
        <w:rPr>
          <w:rFonts w:hint="eastAsia" w:ascii="黑体" w:hAnsi="黑体" w:eastAsia="黑体"/>
          <w:sz w:val="30"/>
          <w:szCs w:val="30"/>
          <w:lang w:eastAsia="zh-CN"/>
        </w:rPr>
        <w:t>）：</w:t>
      </w:r>
      <w:r>
        <w:rPr>
          <w:rFonts w:ascii="黑体" w:hAnsi="黑体" w:eastAsia="黑体"/>
          <w:sz w:val="30"/>
          <w:szCs w:val="30"/>
          <w:u w:val="single"/>
          <w:lang w:eastAsia="zh-CN"/>
        </w:rPr>
        <w:t xml:space="preserve">                </w:t>
      </w:r>
      <w:r>
        <w:rPr>
          <w:rFonts w:hint="eastAsia" w:ascii="黑体" w:hAnsi="黑体" w:eastAsia="黑体"/>
          <w:sz w:val="30"/>
          <w:szCs w:val="30"/>
          <w:u w:val="single"/>
          <w:lang w:eastAsia="zh-CN"/>
        </w:rPr>
        <w:t xml:space="preserve"> </w:t>
      </w:r>
      <w:r>
        <w:rPr>
          <w:rFonts w:ascii="黑体" w:hAnsi="黑体" w:eastAsia="黑体"/>
          <w:sz w:val="30"/>
          <w:szCs w:val="30"/>
          <w:u w:val="single"/>
          <w:lang w:eastAsia="zh-CN"/>
        </w:rPr>
        <w:t xml:space="preserve">            </w:t>
      </w:r>
    </w:p>
    <w:p>
      <w:pPr>
        <w:spacing w:line="480" w:lineRule="exact"/>
        <w:ind w:firstLine="594" w:firstLineChars="198"/>
        <w:rPr>
          <w:rFonts w:hint="eastAsia" w:ascii="黑体" w:hAnsi="黑体" w:eastAsia="黑体"/>
          <w:sz w:val="30"/>
          <w:szCs w:val="30"/>
          <w:lang w:eastAsia="zh-CN"/>
        </w:rPr>
      </w:pP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根据《中华人民共和国</w:t>
      </w:r>
      <w:r>
        <w:rPr>
          <w:rFonts w:hint="eastAsia" w:ascii="仿宋_GB2312" w:hAnsi="宋体" w:eastAsia="仿宋_GB2312"/>
          <w:sz w:val="28"/>
          <w:szCs w:val="28"/>
          <w:lang w:val="en-US" w:eastAsia="zh-CN"/>
        </w:rPr>
        <w:t>民法典</w:t>
      </w:r>
      <w:r>
        <w:rPr>
          <w:rFonts w:hint="eastAsia" w:ascii="仿宋_GB2312" w:hAnsi="宋体" w:eastAsia="仿宋_GB2312"/>
          <w:sz w:val="28"/>
          <w:szCs w:val="28"/>
          <w:lang w:eastAsia="zh-CN"/>
        </w:rPr>
        <w:t>》、《中华人民共和国药品管理法》、《国务院办公厅关于完善公立医院药品集中采购采购工作的指导意见》（国办发〔</w:t>
      </w:r>
      <w:r>
        <w:rPr>
          <w:rFonts w:ascii="仿宋_GB2312" w:hAnsi="宋体" w:eastAsia="仿宋_GB2312"/>
          <w:sz w:val="28"/>
          <w:szCs w:val="28"/>
          <w:lang w:eastAsia="zh-CN"/>
        </w:rPr>
        <w:t>2015</w:t>
      </w:r>
      <w:r>
        <w:rPr>
          <w:rFonts w:hint="eastAsia" w:ascii="仿宋_GB2312" w:hAnsi="宋体" w:eastAsia="仿宋_GB2312"/>
          <w:sz w:val="28"/>
          <w:szCs w:val="28"/>
          <w:lang w:eastAsia="zh-CN"/>
        </w:rPr>
        <w:t>〕</w:t>
      </w:r>
      <w:r>
        <w:rPr>
          <w:rFonts w:ascii="仿宋_GB2312" w:hAnsi="宋体" w:eastAsia="仿宋_GB2312"/>
          <w:sz w:val="28"/>
          <w:szCs w:val="28"/>
          <w:lang w:eastAsia="zh-CN"/>
        </w:rPr>
        <w:t>7</w:t>
      </w:r>
      <w:r>
        <w:rPr>
          <w:rFonts w:hint="eastAsia" w:ascii="仿宋_GB2312" w:hAnsi="宋体" w:eastAsia="仿宋_GB2312"/>
          <w:sz w:val="28"/>
          <w:szCs w:val="28"/>
          <w:lang w:eastAsia="zh-CN"/>
        </w:rPr>
        <w:t>号）、《国家卫生计生委关于落实完善公立医院药品集中采购工作指导意见的通知》（国卫药政发〔</w:t>
      </w:r>
      <w:r>
        <w:rPr>
          <w:rFonts w:ascii="仿宋_GB2312" w:hAnsi="宋体" w:eastAsia="仿宋_GB2312"/>
          <w:sz w:val="28"/>
          <w:szCs w:val="28"/>
          <w:lang w:eastAsia="zh-CN"/>
        </w:rPr>
        <w:t>2015</w:t>
      </w:r>
      <w:r>
        <w:rPr>
          <w:rFonts w:hint="eastAsia" w:ascii="仿宋_GB2312" w:hAnsi="宋体" w:eastAsia="仿宋_GB2312"/>
          <w:sz w:val="28"/>
          <w:szCs w:val="28"/>
          <w:lang w:eastAsia="zh-CN"/>
        </w:rPr>
        <w:t>〕</w:t>
      </w:r>
      <w:r>
        <w:rPr>
          <w:rFonts w:ascii="仿宋_GB2312" w:hAnsi="宋体" w:eastAsia="仿宋_GB2312"/>
          <w:sz w:val="28"/>
          <w:szCs w:val="28"/>
          <w:lang w:eastAsia="zh-CN"/>
        </w:rPr>
        <w:t>70</w:t>
      </w:r>
      <w:r>
        <w:rPr>
          <w:rFonts w:hint="eastAsia" w:ascii="仿宋_GB2312" w:hAnsi="宋体" w:eastAsia="仿宋_GB2312"/>
          <w:sz w:val="28"/>
          <w:szCs w:val="28"/>
          <w:lang w:eastAsia="zh-CN"/>
        </w:rPr>
        <w:t>号）、《西藏自治区人民政府办公厅关于印发西藏自治区公立医疗卫生机构药品集中采购实施方案（2016版）的通知》（藏政办发〔2016〕93号）、《2</w:t>
      </w:r>
      <w:r>
        <w:rPr>
          <w:rFonts w:ascii="仿宋_GB2312" w:hAnsi="宋体" w:eastAsia="仿宋_GB2312"/>
          <w:sz w:val="28"/>
          <w:szCs w:val="28"/>
          <w:lang w:eastAsia="zh-CN"/>
        </w:rPr>
        <w:t>01</w:t>
      </w:r>
      <w:r>
        <w:rPr>
          <w:rFonts w:hint="eastAsia" w:ascii="仿宋_GB2312" w:hAnsi="宋体" w:eastAsia="仿宋_GB2312"/>
          <w:sz w:val="28"/>
          <w:szCs w:val="28"/>
          <w:lang w:eastAsia="zh-CN"/>
        </w:rPr>
        <w:t>7年西藏自治区公立医疗卫生机构药品集中采购实施细则</w:t>
      </w:r>
      <w:r>
        <w:rPr>
          <w:rFonts w:ascii="仿宋_GB2312" w:hAnsi="宋体" w:eastAsia="仿宋_GB2312"/>
          <w:sz w:val="28"/>
          <w:szCs w:val="28"/>
          <w:lang w:eastAsia="zh-CN"/>
        </w:rPr>
        <w:t>(</w:t>
      </w:r>
      <w:r>
        <w:rPr>
          <w:rFonts w:hint="eastAsia" w:ascii="仿宋_GB2312" w:hAnsi="宋体" w:eastAsia="仿宋_GB2312"/>
          <w:sz w:val="28"/>
          <w:szCs w:val="28"/>
          <w:lang w:eastAsia="zh-CN"/>
        </w:rPr>
        <w:t>试行</w:t>
      </w:r>
      <w:r>
        <w:rPr>
          <w:rFonts w:ascii="仿宋_GB2312" w:hAnsi="宋体" w:eastAsia="仿宋_GB2312"/>
          <w:sz w:val="28"/>
          <w:szCs w:val="28"/>
          <w:lang w:eastAsia="zh-CN"/>
        </w:rPr>
        <w:t>)</w:t>
      </w:r>
      <w:r>
        <w:rPr>
          <w:rFonts w:hint="eastAsia" w:ascii="仿宋_GB2312" w:hAnsi="宋体" w:eastAsia="仿宋_GB2312"/>
          <w:sz w:val="28"/>
          <w:szCs w:val="28"/>
          <w:lang w:eastAsia="zh-CN"/>
        </w:rPr>
        <w:t>》（藏卫发〔2017〕317号）等有关规定，为确保药品网上交易的顺利进行，明确交易双方的权利和义务，甲乙双方遵循平等、自愿、公平和诚实信用的原则，经双方协商一致签订本合同，共同遵守。</w:t>
      </w:r>
    </w:p>
    <w:p>
      <w:pPr>
        <w:spacing w:line="464" w:lineRule="exact"/>
        <w:ind w:firstLine="560" w:firstLineChars="200"/>
        <w:rPr>
          <w:rFonts w:hint="eastAsia" w:ascii="黑体" w:hAnsi="宋体" w:eastAsia="黑体"/>
          <w:sz w:val="28"/>
          <w:szCs w:val="28"/>
          <w:lang w:eastAsia="zh-CN"/>
        </w:rPr>
      </w:pPr>
      <w:r>
        <w:rPr>
          <w:rFonts w:hint="eastAsia" w:ascii="黑体" w:hAnsi="宋体" w:eastAsia="黑体"/>
          <w:sz w:val="28"/>
          <w:szCs w:val="28"/>
          <w:lang w:eastAsia="zh-CN"/>
        </w:rPr>
        <w:t>第一条</w:t>
      </w:r>
      <w:r>
        <w:rPr>
          <w:rFonts w:ascii="黑体" w:hAnsi="宋体" w:eastAsia="黑体"/>
          <w:sz w:val="28"/>
          <w:szCs w:val="28"/>
          <w:lang w:eastAsia="zh-CN"/>
        </w:rPr>
        <w:t xml:space="preserve">  </w:t>
      </w:r>
      <w:r>
        <w:rPr>
          <w:rFonts w:hint="eastAsia" w:ascii="黑体" w:hAnsi="宋体" w:eastAsia="黑体"/>
          <w:sz w:val="28"/>
          <w:szCs w:val="28"/>
          <w:lang w:eastAsia="zh-CN"/>
        </w:rPr>
        <w:t>合同药品</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一、甲方须通过西藏自治区药品（</w:t>
      </w:r>
      <w:r>
        <w:rPr>
          <w:rFonts w:hint="eastAsia" w:ascii="仿宋_GB2312" w:hAnsi="宋体" w:eastAsia="仿宋_GB2312"/>
          <w:sz w:val="28"/>
          <w:szCs w:val="28"/>
          <w:lang w:val="en-US" w:eastAsia="zh-CN"/>
        </w:rPr>
        <w:t>四川</w:t>
      </w:r>
      <w:r>
        <w:rPr>
          <w:rFonts w:hint="eastAsia" w:ascii="仿宋_GB2312" w:hAnsi="宋体" w:eastAsia="仿宋_GB2312"/>
          <w:sz w:val="28"/>
          <w:szCs w:val="28"/>
          <w:lang w:eastAsia="zh-CN"/>
        </w:rPr>
        <w:t>）集中采购网采购中标/挂网品种。</w:t>
      </w:r>
    </w:p>
    <w:p>
      <w:pPr>
        <w:spacing w:line="464" w:lineRule="exact"/>
        <w:ind w:firstLine="560" w:firstLineChars="200"/>
        <w:rPr>
          <w:rFonts w:ascii="仿宋_GB2312" w:hAnsi="宋体" w:eastAsia="仿宋_GB2312" w:cs="宋体"/>
          <w:color w:val="000000"/>
          <w:sz w:val="28"/>
          <w:szCs w:val="28"/>
          <w:lang w:val="zh-CN" w:eastAsia="zh-CN"/>
        </w:rPr>
      </w:pPr>
      <w:r>
        <w:rPr>
          <w:rFonts w:hint="eastAsia" w:ascii="仿宋_GB2312" w:hAnsi="宋体" w:eastAsia="仿宋_GB2312"/>
          <w:sz w:val="28"/>
          <w:szCs w:val="28"/>
          <w:lang w:eastAsia="zh-CN"/>
        </w:rPr>
        <w:t>二、乙方按药品购销合同向甲方供应药品。应保证甲方在使用药品时免受第三方提出的有关专利权、商标权或保护期等方面的权利要求。</w:t>
      </w:r>
      <w:r>
        <w:rPr>
          <w:rFonts w:hint="eastAsia" w:ascii="仿宋_GB2312" w:hAnsi="宋体" w:eastAsia="仿宋_GB2312"/>
          <w:sz w:val="28"/>
          <w:szCs w:val="28"/>
        </w:rPr>
        <w:t>如果乙方供应的药品被第三方提出上述权利主张，乙方应当赔偿由此造成甲方的全部损失，包括但不限于甲方不能正常使用该批药品造成的损失，甲方向第三方支付的赔偿，甲方应对该等纠纷产生的全部费用等</w:t>
      </w:r>
      <w:r>
        <w:rPr>
          <w:rFonts w:hint="eastAsia" w:ascii="仿宋_GB2312" w:hAnsi="宋体" w:eastAsia="仿宋_GB2312"/>
          <w:sz w:val="28"/>
          <w:szCs w:val="28"/>
          <w:lang w:eastAsia="zh-CN"/>
        </w:rPr>
        <w:t>。所供应药品的质量应符合国家药品相关标准，药品质量、规格、包装须与中标和挂网药品的信息一</w:t>
      </w:r>
      <w:r>
        <w:rPr>
          <w:rFonts w:hint="eastAsia" w:ascii="仿宋_GB2312" w:hAnsi="宋体" w:eastAsia="仿宋_GB2312" w:cs="宋体"/>
          <w:color w:val="000000"/>
          <w:sz w:val="28"/>
          <w:szCs w:val="28"/>
          <w:lang w:val="zh-CN" w:eastAsia="zh-CN"/>
        </w:rPr>
        <w:t>致，不得更改。</w:t>
      </w:r>
      <w:r>
        <w:rPr>
          <w:rFonts w:hint="eastAsia" w:ascii="仿宋_GB2312" w:hAnsi="宋体" w:eastAsia="仿宋_GB2312"/>
          <w:sz w:val="28"/>
          <w:szCs w:val="28"/>
          <w:lang w:eastAsia="zh-CN"/>
        </w:rPr>
        <w:t>甲方与乙方签订的药品购销合同附表（详见附件）、甲方发出的网上批次订单属于药品购销合同的一个组成部分，与本合同具有同等法律效力。</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第二条</w:t>
      </w:r>
      <w:r>
        <w:rPr>
          <w:rFonts w:ascii="黑体" w:hAnsi="宋体" w:eastAsia="黑体"/>
          <w:sz w:val="28"/>
          <w:szCs w:val="28"/>
          <w:lang w:eastAsia="zh-CN"/>
        </w:rPr>
        <w:t xml:space="preserve">  </w:t>
      </w:r>
      <w:r>
        <w:rPr>
          <w:rFonts w:hint="eastAsia" w:ascii="黑体" w:hAnsi="宋体" w:eastAsia="黑体"/>
          <w:sz w:val="28"/>
          <w:szCs w:val="28"/>
          <w:lang w:eastAsia="zh-CN"/>
        </w:rPr>
        <w:t xml:space="preserve">供货期限 </w:t>
      </w:r>
    </w:p>
    <w:p>
      <w:pPr>
        <w:spacing w:line="464" w:lineRule="exact"/>
        <w:ind w:firstLine="560" w:firstLineChars="200"/>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甲方有权要求乙方按时足量地对挂网中标药品进行配送。乙方应自甲方订单通知之日起</w:t>
      </w:r>
      <w:r>
        <w:rPr>
          <w:rFonts w:hint="eastAsia" w:ascii="仿宋_GB2312" w:hAnsi="宋体" w:eastAsia="仿宋_GB2312" w:cs="宋体"/>
          <w:sz w:val="28"/>
          <w:szCs w:val="28"/>
          <w:lang w:val="en-US" w:eastAsia="zh-CN"/>
        </w:rPr>
        <w:t>1</w:t>
      </w:r>
      <w:r>
        <w:rPr>
          <w:rFonts w:hint="eastAsia" w:ascii="仿宋_GB2312" w:hAnsi="宋体" w:eastAsia="仿宋_GB2312" w:cs="宋体"/>
          <w:sz w:val="28"/>
          <w:szCs w:val="28"/>
          <w:lang w:eastAsia="zh-CN"/>
        </w:rPr>
        <w:t>日内响应订单，并按照约定的药品品规配送药品。原则上急（抢）救药品配送8小时内送达，一般药品配送</w:t>
      </w:r>
      <w:r>
        <w:rPr>
          <w:rFonts w:ascii="仿宋_GB2312" w:hAnsi="宋体" w:eastAsia="仿宋_GB2312" w:cs="宋体"/>
          <w:sz w:val="28"/>
          <w:szCs w:val="28"/>
          <w:lang w:eastAsia="zh-CN"/>
        </w:rPr>
        <w:t>24</w:t>
      </w:r>
      <w:r>
        <w:rPr>
          <w:rFonts w:hint="eastAsia" w:ascii="仿宋_GB2312" w:hAnsi="宋体" w:eastAsia="仿宋_GB2312" w:cs="宋体"/>
          <w:sz w:val="28"/>
          <w:szCs w:val="28"/>
          <w:lang w:eastAsia="zh-CN"/>
        </w:rPr>
        <w:t>小时内送达，最长不超过72小时。节假日照常配送。</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第三条</w:t>
      </w:r>
      <w:r>
        <w:rPr>
          <w:rFonts w:ascii="黑体" w:hAnsi="宋体" w:eastAsia="黑体"/>
          <w:sz w:val="28"/>
          <w:szCs w:val="28"/>
          <w:lang w:eastAsia="zh-CN"/>
        </w:rPr>
        <w:t xml:space="preserve">  </w:t>
      </w:r>
      <w:r>
        <w:rPr>
          <w:rFonts w:hint="eastAsia" w:ascii="黑体" w:hAnsi="宋体" w:eastAsia="黑体"/>
          <w:sz w:val="28"/>
          <w:szCs w:val="28"/>
          <w:lang w:eastAsia="zh-CN"/>
        </w:rPr>
        <w:t>采购价格</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甲方按自治区采购平台公布的中标价格，或与药品生产企业议定的交易价格进行网上采购，该价格包含成本、运输、包装、伴随服务、税费及其他附加费等一切服务费用。合同履行期间，如遇政策性调价，按采购平台更新后的价格执行。</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第四条</w:t>
      </w:r>
      <w:r>
        <w:rPr>
          <w:rFonts w:ascii="黑体" w:hAnsi="宋体" w:eastAsia="黑体"/>
          <w:sz w:val="28"/>
          <w:szCs w:val="28"/>
          <w:lang w:eastAsia="zh-CN"/>
        </w:rPr>
        <w:t xml:space="preserve">  </w:t>
      </w:r>
      <w:r>
        <w:rPr>
          <w:rFonts w:hint="eastAsia" w:ascii="黑体" w:hAnsi="宋体" w:eastAsia="黑体"/>
          <w:sz w:val="28"/>
          <w:szCs w:val="28"/>
          <w:lang w:eastAsia="zh-CN"/>
        </w:rPr>
        <w:t>货款结算</w:t>
      </w:r>
    </w:p>
    <w:p>
      <w:pPr>
        <w:spacing w:line="464" w:lineRule="exact"/>
        <w:ind w:firstLine="560" w:firstLineChars="200"/>
        <w:rPr>
          <w:rFonts w:hint="eastAsia" w:ascii="仿宋_GB2312" w:hAnsi="宋体" w:eastAsia="仿宋_GB2312" w:cs="宋体"/>
          <w:sz w:val="28"/>
          <w:szCs w:val="28"/>
          <w:lang w:eastAsia="zh-CN"/>
        </w:rPr>
      </w:pPr>
      <w:r>
        <w:rPr>
          <w:rFonts w:hint="eastAsia" w:ascii="仿宋_GB2312" w:hAnsi="宋体" w:eastAsia="仿宋_GB2312" w:cs="宋体"/>
          <w:sz w:val="28"/>
          <w:szCs w:val="28"/>
          <w:lang w:eastAsia="zh-CN"/>
        </w:rPr>
        <w:t>一、甲方应将药品收支纳入预算管理，严格按照合同约定的时间支付货款，</w:t>
      </w:r>
      <w:r>
        <w:rPr>
          <w:rFonts w:hint="eastAsia" w:ascii="仿宋_GB2312" w:hAnsi="宋体" w:eastAsia="仿宋_GB2312" w:cs="宋体"/>
          <w:sz w:val="28"/>
          <w:szCs w:val="28"/>
        </w:rPr>
        <w:t>除本合同另有约定外</w:t>
      </w:r>
      <w:r>
        <w:rPr>
          <w:rFonts w:hint="eastAsia" w:ascii="仿宋_GB2312" w:hAnsi="宋体" w:eastAsia="仿宋_GB2312" w:cs="宋体"/>
          <w:sz w:val="28"/>
          <w:szCs w:val="28"/>
          <w:lang w:eastAsia="zh-CN"/>
        </w:rPr>
        <w:t>，从交货验收合格到付款时间不得超过</w:t>
      </w:r>
      <w:r>
        <w:rPr>
          <w:rFonts w:ascii="仿宋_GB2312" w:hAnsi="宋体" w:eastAsia="仿宋_GB2312" w:cs="宋体"/>
          <w:sz w:val="28"/>
          <w:szCs w:val="28"/>
          <w:lang w:eastAsia="zh-CN"/>
        </w:rPr>
        <w:t>30</w:t>
      </w:r>
      <w:r>
        <w:rPr>
          <w:rFonts w:hint="eastAsia" w:ascii="仿宋_GB2312" w:hAnsi="宋体" w:eastAsia="仿宋_GB2312" w:cs="宋体"/>
          <w:sz w:val="28"/>
          <w:szCs w:val="28"/>
          <w:lang w:eastAsia="zh-CN"/>
        </w:rPr>
        <w:t>天。</w:t>
      </w:r>
    </w:p>
    <w:p>
      <w:pPr>
        <w:spacing w:line="464" w:lineRule="exact"/>
        <w:ind w:firstLine="560" w:firstLineChars="200"/>
        <w:rPr>
          <w:rFonts w:hint="eastAsia" w:ascii="仿宋_GB2312" w:hAnsi="宋体" w:eastAsia="仿宋_GB2312" w:cs="宋体"/>
          <w:sz w:val="28"/>
          <w:szCs w:val="28"/>
          <w:lang w:eastAsia="zh-CN"/>
        </w:rPr>
      </w:pPr>
      <w:r>
        <w:rPr>
          <w:rFonts w:hint="eastAsia" w:ascii="仿宋_GB2312" w:hAnsi="宋体" w:eastAsia="仿宋_GB2312" w:cs="宋体"/>
          <w:sz w:val="28"/>
          <w:szCs w:val="28"/>
          <w:lang w:eastAsia="zh-CN"/>
        </w:rPr>
        <w:t>二、付款前，乙方应向甲方提供采购药品的增值税发票和有关单据。</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第五条</w:t>
      </w:r>
      <w:r>
        <w:rPr>
          <w:rFonts w:ascii="黑体" w:hAnsi="宋体" w:eastAsia="黑体"/>
          <w:sz w:val="28"/>
          <w:szCs w:val="28"/>
          <w:lang w:eastAsia="zh-CN"/>
        </w:rPr>
        <w:t xml:space="preserve">  </w:t>
      </w:r>
      <w:r>
        <w:rPr>
          <w:rFonts w:hint="eastAsia" w:ascii="黑体" w:hAnsi="宋体" w:eastAsia="黑体"/>
          <w:sz w:val="28"/>
          <w:szCs w:val="28"/>
          <w:lang w:eastAsia="zh-CN"/>
        </w:rPr>
        <w:t>药品验收及异议</w:t>
      </w:r>
    </w:p>
    <w:p>
      <w:pPr>
        <w:spacing w:line="464" w:lineRule="exact"/>
        <w:ind w:firstLine="560" w:firstLineChars="200"/>
        <w:rPr>
          <w:rFonts w:ascii="仿宋_GB2312" w:hAnsi="仿宋" w:eastAsia="仿宋_GB2312"/>
          <w:sz w:val="28"/>
          <w:szCs w:val="28"/>
          <w:lang w:eastAsia="zh-CN"/>
        </w:rPr>
      </w:pPr>
      <w:r>
        <w:rPr>
          <w:rFonts w:hint="eastAsia" w:ascii="仿宋_GB2312" w:hAnsi="宋体" w:eastAsia="仿宋_GB2312"/>
          <w:sz w:val="28"/>
          <w:szCs w:val="28"/>
          <w:lang w:eastAsia="zh-CN"/>
        </w:rPr>
        <w:t>一、甲方按照《药品管理法》相关的验收制度和药品发票（国家税务）在甲方药库，对乙方药品予以验收，原则上3个工作日内完成药品验收入库及网上确认，甲方签字验收后即视为验收合格。同时查验乙方依法必须具备的营业执照、药品生产</w:t>
      </w:r>
      <w:r>
        <w:rPr>
          <w:rFonts w:ascii="仿宋_GB2312" w:hAnsi="宋体" w:eastAsia="仿宋_GB2312"/>
          <w:sz w:val="28"/>
          <w:szCs w:val="28"/>
          <w:lang w:eastAsia="zh-CN"/>
        </w:rPr>
        <w:t>/</w:t>
      </w:r>
      <w:r>
        <w:rPr>
          <w:rFonts w:hint="eastAsia" w:ascii="仿宋_GB2312" w:hAnsi="宋体" w:eastAsia="仿宋_GB2312"/>
          <w:sz w:val="28"/>
          <w:szCs w:val="28"/>
          <w:lang w:eastAsia="zh-CN"/>
        </w:rPr>
        <w:t>经营许可证、药品生产批件、</w:t>
      </w:r>
      <w:r>
        <w:rPr>
          <w:rFonts w:ascii="仿宋_GB2312" w:hAnsi="宋体" w:eastAsia="仿宋_GB2312"/>
          <w:sz w:val="28"/>
          <w:szCs w:val="28"/>
          <w:lang w:eastAsia="zh-CN"/>
        </w:rPr>
        <w:t>GMP</w:t>
      </w:r>
      <w:r>
        <w:rPr>
          <w:rFonts w:hint="eastAsia" w:ascii="仿宋_GB2312" w:hAnsi="宋体" w:eastAsia="仿宋_GB2312"/>
          <w:sz w:val="28"/>
          <w:szCs w:val="28"/>
          <w:lang w:eastAsia="zh-CN"/>
        </w:rPr>
        <w:t>、</w:t>
      </w:r>
      <w:r>
        <w:rPr>
          <w:rFonts w:ascii="仿宋_GB2312" w:hAnsi="宋体" w:eastAsia="仿宋_GB2312"/>
          <w:sz w:val="28"/>
          <w:szCs w:val="28"/>
          <w:lang w:eastAsia="zh-CN"/>
        </w:rPr>
        <w:t>GSP</w:t>
      </w:r>
      <w:r>
        <w:rPr>
          <w:rFonts w:hint="eastAsia" w:ascii="仿宋_GB2312" w:hAnsi="宋体" w:eastAsia="仿宋_GB2312"/>
          <w:sz w:val="28"/>
          <w:szCs w:val="28"/>
          <w:lang w:eastAsia="zh-CN"/>
        </w:rPr>
        <w:t>等证件，对不符合质量、有效期、包装和订单数量要求、证书无效或者证书不全，以及双方约定的其他要求的药品，甲方有权拒绝接收，乙方应对不符合药品的药品在</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日内进行退换，不得影响甲方临床使用。</w:t>
      </w:r>
      <w:r>
        <w:rPr>
          <w:rFonts w:hint="eastAsia" w:ascii="仿宋_GB2312" w:hAnsi="宋体" w:eastAsia="仿宋_GB2312"/>
          <w:sz w:val="28"/>
          <w:szCs w:val="28"/>
        </w:rPr>
        <w:t>乙方拒绝更换的，视为乙方不能正常交付药品，乙方应当按照本合同及双方具体的买卖合同的约定向甲方承担违约责任。</w:t>
      </w:r>
      <w:r>
        <w:rPr>
          <w:rFonts w:hint="eastAsia" w:ascii="仿宋_GB2312" w:hAnsi="宋体" w:eastAsia="仿宋_GB2312"/>
          <w:sz w:val="28"/>
          <w:szCs w:val="28"/>
          <w:lang w:eastAsia="zh-CN"/>
        </w:rPr>
        <w:t>如确认需要进行药品质量检验，应及时以书面形式把质量检验的具体要求通知乙方。如发现药品存在质量问题，可暂时封存，并采取有效的补救措施。因验收不严、使用、保管、保养不善等自身原因造成产品失效或质量下降的，后果自负。</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二、乙方按合同交付的药品质量应符合药典或国家食品药品监督管理部门规定的标准，向甲方提供依法必须具备的营业执照、药品生产</w:t>
      </w:r>
      <w:r>
        <w:rPr>
          <w:rFonts w:ascii="仿宋_GB2312" w:hAnsi="宋体" w:eastAsia="仿宋_GB2312"/>
          <w:sz w:val="28"/>
          <w:szCs w:val="28"/>
          <w:lang w:eastAsia="zh-CN"/>
        </w:rPr>
        <w:t>/</w:t>
      </w:r>
      <w:r>
        <w:rPr>
          <w:rFonts w:hint="eastAsia" w:ascii="仿宋_GB2312" w:hAnsi="宋体" w:eastAsia="仿宋_GB2312"/>
          <w:sz w:val="28"/>
          <w:szCs w:val="28"/>
          <w:lang w:eastAsia="zh-CN"/>
        </w:rPr>
        <w:t>经营许可证、药品生产批件、</w:t>
      </w:r>
      <w:r>
        <w:rPr>
          <w:rFonts w:ascii="仿宋_GB2312" w:hAnsi="宋体" w:eastAsia="仿宋_GB2312"/>
          <w:sz w:val="28"/>
          <w:szCs w:val="28"/>
          <w:lang w:eastAsia="zh-CN"/>
        </w:rPr>
        <w:t>GMP</w:t>
      </w:r>
      <w:r>
        <w:rPr>
          <w:rFonts w:hint="eastAsia" w:ascii="仿宋_GB2312" w:hAnsi="宋体" w:eastAsia="仿宋_GB2312"/>
          <w:sz w:val="28"/>
          <w:szCs w:val="28"/>
          <w:lang w:eastAsia="zh-CN"/>
        </w:rPr>
        <w:t>、</w:t>
      </w:r>
      <w:r>
        <w:rPr>
          <w:rFonts w:ascii="仿宋_GB2312" w:hAnsi="宋体" w:eastAsia="仿宋_GB2312"/>
          <w:sz w:val="28"/>
          <w:szCs w:val="28"/>
          <w:lang w:eastAsia="zh-CN"/>
        </w:rPr>
        <w:t>GSP</w:t>
      </w:r>
      <w:r>
        <w:rPr>
          <w:rFonts w:hint="eastAsia" w:ascii="仿宋_GB2312" w:hAnsi="宋体" w:eastAsia="仿宋_GB2312"/>
          <w:sz w:val="28"/>
          <w:szCs w:val="28"/>
          <w:lang w:eastAsia="zh-CN"/>
        </w:rPr>
        <w:t>等证件供查验，并与承诺的质量相一致，以确保临床用药安全有效。采购周期内遇到药监部门抽查甲方的药品，其抽查数量由乙方补齐，对存在问题的药品所产生的查封、没收、罚款等，由乙方承担责任。按甲方要求提供相应的药检报告书，并将药品送到甲方指定地点进行检验。</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三、乙方所提供的药品有效期限不得少于整个药品有效期的</w:t>
      </w:r>
      <w:r>
        <w:rPr>
          <w:rFonts w:ascii="仿宋_GB2312" w:hAnsi="宋体" w:eastAsia="仿宋_GB2312"/>
          <w:sz w:val="28"/>
          <w:szCs w:val="28"/>
          <w:lang w:eastAsia="zh-CN"/>
        </w:rPr>
        <w:t>2/3</w:t>
      </w:r>
      <w:r>
        <w:rPr>
          <w:rFonts w:hint="eastAsia" w:ascii="仿宋_GB2312" w:hAnsi="宋体" w:eastAsia="仿宋_GB2312"/>
          <w:sz w:val="28"/>
          <w:szCs w:val="28"/>
          <w:lang w:eastAsia="zh-CN"/>
        </w:rPr>
        <w:t>。</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四、乙方应接受存在质量问题药品的退货，并负责自行到各医疗卫生机构收回所退药品，同时登录平台确认退货。</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五、对于上述退货药款，甲方与乙方尚有未结款的，可在双方结算时直接从未结款中扣除；如双方不存在未结款项，乙方应在退货后</w:t>
      </w:r>
      <w:r>
        <w:rPr>
          <w:rFonts w:ascii="仿宋_GB2312" w:hAnsi="宋体" w:eastAsia="仿宋_GB2312"/>
          <w:sz w:val="28"/>
          <w:szCs w:val="28"/>
          <w:lang w:eastAsia="zh-CN"/>
        </w:rPr>
        <w:t>30</w:t>
      </w:r>
      <w:r>
        <w:rPr>
          <w:rFonts w:hint="eastAsia" w:ascii="仿宋_GB2312" w:hAnsi="宋体" w:eastAsia="仿宋_GB2312"/>
          <w:sz w:val="28"/>
          <w:szCs w:val="28"/>
          <w:lang w:eastAsia="zh-CN"/>
        </w:rPr>
        <w:t>个工作日内将退货药款返还给甲方。</w:t>
      </w:r>
    </w:p>
    <w:p>
      <w:pPr>
        <w:spacing w:line="464" w:lineRule="exact"/>
        <w:ind w:firstLine="560" w:firstLineChars="200"/>
        <w:rPr>
          <w:rFonts w:ascii="黑体" w:hAnsi="宋体" w:eastAsia="黑体" w:cs="宋体"/>
          <w:sz w:val="28"/>
          <w:szCs w:val="28"/>
          <w:lang w:eastAsia="zh-CN"/>
        </w:rPr>
      </w:pPr>
      <w:r>
        <w:rPr>
          <w:rFonts w:hint="eastAsia" w:ascii="黑体" w:hAnsi="宋体" w:eastAsia="黑体"/>
          <w:sz w:val="28"/>
          <w:szCs w:val="28"/>
          <w:lang w:eastAsia="zh-CN"/>
        </w:rPr>
        <w:t>第六条</w:t>
      </w:r>
      <w:r>
        <w:rPr>
          <w:rFonts w:ascii="黑体" w:hAnsi="宋体" w:eastAsia="黑体"/>
          <w:sz w:val="28"/>
          <w:szCs w:val="28"/>
          <w:lang w:eastAsia="zh-CN"/>
        </w:rPr>
        <w:t xml:space="preserve">  </w:t>
      </w:r>
      <w:r>
        <w:rPr>
          <w:rFonts w:hint="eastAsia" w:ascii="黑体" w:hAnsi="宋体" w:eastAsia="黑体"/>
          <w:sz w:val="28"/>
          <w:szCs w:val="28"/>
          <w:lang w:eastAsia="zh-CN"/>
        </w:rPr>
        <w:t>伴随服务</w:t>
      </w:r>
    </w:p>
    <w:p>
      <w:pPr>
        <w:spacing w:line="464" w:lineRule="exact"/>
        <w:ind w:firstLine="560" w:firstLineChars="200"/>
        <w:rPr>
          <w:rFonts w:ascii="仿宋_GB2312" w:hAnsi="宋体" w:eastAsia="仿宋_GB2312" w:cs="宋体"/>
          <w:sz w:val="28"/>
          <w:szCs w:val="28"/>
          <w:lang w:eastAsia="zh-CN"/>
        </w:rPr>
      </w:pPr>
      <w:r>
        <w:rPr>
          <w:rFonts w:hint="eastAsia" w:ascii="仿宋_GB2312" w:hAnsi="宋体" w:eastAsia="仿宋_GB2312"/>
          <w:sz w:val="28"/>
          <w:szCs w:val="28"/>
          <w:lang w:eastAsia="zh-CN"/>
        </w:rPr>
        <w:t>一、乙方可能被要求提供下列服务中的一项或全部服务：</w:t>
      </w:r>
    </w:p>
    <w:p>
      <w:pPr>
        <w:snapToGrid w:val="0"/>
        <w:spacing w:line="464" w:lineRule="exact"/>
        <w:ind w:firstLine="540"/>
        <w:rPr>
          <w:rFonts w:ascii="仿宋_GB2312" w:hAnsi="宋体" w:eastAsia="仿宋_GB2312"/>
          <w:sz w:val="28"/>
          <w:szCs w:val="28"/>
          <w:lang w:eastAsia="zh-CN"/>
        </w:rPr>
      </w:pPr>
      <w:r>
        <w:rPr>
          <w:rFonts w:hint="eastAsia" w:ascii="仿宋_GB2312" w:hAnsi="宋体" w:eastAsia="仿宋_GB2312"/>
          <w:sz w:val="28"/>
          <w:szCs w:val="28"/>
          <w:lang w:eastAsia="zh-CN"/>
        </w:rPr>
        <w:t>（一）产品的现场搬运或入库。</w:t>
      </w:r>
    </w:p>
    <w:p>
      <w:pPr>
        <w:snapToGrid w:val="0"/>
        <w:spacing w:line="464" w:lineRule="exact"/>
        <w:ind w:firstLine="540"/>
        <w:rPr>
          <w:rFonts w:ascii="仿宋_GB2312" w:hAnsi="宋体" w:eastAsia="仿宋_GB2312"/>
          <w:sz w:val="28"/>
          <w:szCs w:val="28"/>
          <w:lang w:eastAsia="zh-CN"/>
        </w:rPr>
      </w:pPr>
      <w:r>
        <w:rPr>
          <w:rFonts w:hint="eastAsia" w:ascii="仿宋_GB2312" w:hAnsi="宋体" w:eastAsia="仿宋_GB2312"/>
          <w:sz w:val="28"/>
          <w:szCs w:val="28"/>
          <w:lang w:eastAsia="zh-CN"/>
        </w:rPr>
        <w:t>（二）提供产品开箱或分装的用具。</w:t>
      </w:r>
    </w:p>
    <w:p>
      <w:pPr>
        <w:snapToGrid w:val="0"/>
        <w:spacing w:line="464" w:lineRule="exact"/>
        <w:ind w:firstLine="540"/>
        <w:rPr>
          <w:rFonts w:ascii="仿宋_GB2312" w:hAnsi="宋体" w:eastAsia="仿宋_GB2312"/>
          <w:sz w:val="28"/>
          <w:szCs w:val="28"/>
          <w:lang w:eastAsia="zh-CN"/>
        </w:rPr>
      </w:pPr>
      <w:r>
        <w:rPr>
          <w:rFonts w:hint="eastAsia" w:ascii="仿宋_GB2312" w:hAnsi="宋体" w:eastAsia="仿宋_GB2312"/>
          <w:sz w:val="28"/>
          <w:szCs w:val="28"/>
          <w:lang w:eastAsia="zh-CN"/>
        </w:rPr>
        <w:t>（三）对开箱时发现的破损、近效期产品或其他不合格包装产品及时更换。</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（四）在甲方指定地点为所供药品的临床应用进行现场讲解或培训。</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（五）其他乙方应提供的相关服务项目。</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二、交易价格已包含上述伴随服务涉及的费用，提供以上服务不得另行收费。</w:t>
      </w:r>
    </w:p>
    <w:p>
      <w:pPr>
        <w:spacing w:line="464" w:lineRule="exact"/>
        <w:rPr>
          <w:rFonts w:ascii="黑体" w:hAnsi="宋体" w:eastAsia="黑体"/>
          <w:sz w:val="28"/>
          <w:szCs w:val="28"/>
          <w:lang w:eastAsia="zh-CN"/>
        </w:rPr>
      </w:pPr>
      <w:r>
        <w:rPr>
          <w:rFonts w:ascii="仿宋_GB2312" w:hAnsi="宋体" w:eastAsia="仿宋_GB2312"/>
          <w:b/>
          <w:sz w:val="28"/>
          <w:szCs w:val="28"/>
          <w:lang w:eastAsia="zh-CN"/>
        </w:rPr>
        <w:t xml:space="preserve">     </w:t>
      </w:r>
      <w:r>
        <w:rPr>
          <w:rFonts w:hint="eastAsia" w:ascii="黑体" w:hAnsi="宋体" w:eastAsia="黑体"/>
          <w:sz w:val="28"/>
          <w:szCs w:val="28"/>
          <w:lang w:eastAsia="zh-CN"/>
        </w:rPr>
        <w:t>第七条</w:t>
      </w:r>
      <w:r>
        <w:rPr>
          <w:rFonts w:ascii="黑体" w:hAnsi="宋体" w:eastAsia="黑体"/>
          <w:sz w:val="28"/>
          <w:szCs w:val="28"/>
          <w:lang w:eastAsia="zh-CN"/>
        </w:rPr>
        <w:t xml:space="preserve">  </w:t>
      </w:r>
      <w:r>
        <w:rPr>
          <w:rFonts w:hint="eastAsia" w:ascii="黑体" w:hAnsi="宋体" w:eastAsia="黑体"/>
          <w:sz w:val="28"/>
          <w:szCs w:val="28"/>
          <w:lang w:eastAsia="zh-CN"/>
        </w:rPr>
        <w:t>甲方履约责任</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一、甲乙双方在执行本合同时，应严格遵守国家相关法律、法规和药品集中采购有关规定，自觉接受监督管理。因一方违犯国家相关法规而给对方造成不良后果及损失的，有过错方承担赔偿责任；双方都有过错的，各自承担相应的责任。</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二、</w:t>
      </w:r>
      <w:r>
        <w:rPr>
          <w:rFonts w:hint="eastAsia" w:ascii="仿宋_GB2312" w:hAnsi="宋体" w:eastAsia="仿宋_GB2312"/>
          <w:sz w:val="28"/>
          <w:szCs w:val="28"/>
        </w:rPr>
        <w:t>除双方协商一致外，</w:t>
      </w:r>
      <w:r>
        <w:rPr>
          <w:rFonts w:hint="eastAsia" w:ascii="仿宋_GB2312" w:hAnsi="宋体" w:eastAsia="仿宋_GB2312"/>
          <w:sz w:val="28"/>
          <w:szCs w:val="28"/>
          <w:lang w:eastAsia="zh-CN"/>
        </w:rPr>
        <w:t>甲方必须无条件采购本合同项下的药品。不得无正当理由终止合同。</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三、甲方在合同约定的数量、金额和时限范围内，对乙方配送的合格中标药品，不得以非正当理由拒收或退货。</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四、甲方须按照合同规定及时结算货款,</w:t>
      </w:r>
      <w:r>
        <w:rPr>
          <w:rFonts w:hint="eastAsia" w:ascii="仿宋_GB2312" w:hAnsi="仿宋" w:eastAsia="仿宋_GB2312"/>
          <w:color w:val="000000"/>
          <w:sz w:val="28"/>
          <w:szCs w:val="28"/>
          <w:lang w:eastAsia="zh-CN"/>
        </w:rPr>
        <w:t xml:space="preserve"> 并严格执行“两票制”</w:t>
      </w:r>
      <w:r>
        <w:rPr>
          <w:rFonts w:hint="eastAsia" w:ascii="仿宋_GB2312" w:hAnsi="宋体" w:eastAsia="仿宋_GB2312"/>
          <w:sz w:val="28"/>
          <w:szCs w:val="28"/>
          <w:lang w:eastAsia="zh-CN"/>
        </w:rPr>
        <w:t>。</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五、甲方必须要求乙方按实际采购价格如实开具发票，并如实记帐。</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六、甲方不得以任何理由向乙方提出除合同项以外的集体或个人利益。</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七、甲方不得以任何理由向乙方索要任何名义的赞助或捐赠。</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八、在合同执行过程中，对乙方的违法违纪行为应及时举报。</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九、法律法规的其他相关规定。</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第八条</w:t>
      </w:r>
      <w:r>
        <w:rPr>
          <w:rFonts w:ascii="黑体" w:hAnsi="宋体" w:eastAsia="黑体"/>
          <w:sz w:val="28"/>
          <w:szCs w:val="28"/>
          <w:lang w:eastAsia="zh-CN"/>
        </w:rPr>
        <w:t xml:space="preserve">  </w:t>
      </w:r>
      <w:r>
        <w:rPr>
          <w:rFonts w:hint="eastAsia" w:ascii="黑体" w:hAnsi="宋体" w:eastAsia="黑体"/>
          <w:sz w:val="28"/>
          <w:szCs w:val="28"/>
          <w:lang w:eastAsia="zh-CN"/>
        </w:rPr>
        <w:t>乙方履约责任</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一、乙方应保证有足够的备货数量，以免产生缺货现象。并且按购销合同签订采购的药品向甲方供应药品。</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二、乙方承诺提供的全部药品不应存在任何知识产权争议或其它纠纷。如因此造成乙方无法正常供货或第三方向甲方主张权利等纠纷，均与甲方无关，由乙方自行承担费用予以解决；因此导致甲方权益受损，乙方承担违约责任。</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三、乙方所供应药品的质量应符合国家药品相关标准，药品质量、规格、包装须与中标、议价成交药品品种的信息一致，不得更改。</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四、已确认的议价成交的药品，自签订购销合同之日起至本次采购周期结束，乙方不得自行弃标和不予供货。</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五、乙方不得为谋取自身利益向甲方医务人员提供贿赂，不得暗中给予回扣或者取得其它不正当利益。如有违反，根据有关规定和有关法律、法规、规章等依法查处。</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六、乙方不得在销售药品或者提供服务过程中利用财物或者其它方式进行商业贿赂。</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七、在合同执行过程中，</w:t>
      </w:r>
      <w:r>
        <w:rPr>
          <w:rFonts w:hint="eastAsia" w:ascii="仿宋_GB2312" w:hAnsi="仿宋" w:eastAsia="仿宋_GB2312"/>
          <w:color w:val="000000"/>
          <w:sz w:val="28"/>
          <w:szCs w:val="28"/>
          <w:lang w:eastAsia="zh-CN"/>
        </w:rPr>
        <w:t>严格执行“两票制”，</w:t>
      </w:r>
      <w:r>
        <w:rPr>
          <w:rFonts w:hint="eastAsia" w:ascii="仿宋_GB2312" w:hAnsi="宋体" w:eastAsia="仿宋_GB2312"/>
          <w:sz w:val="28"/>
          <w:szCs w:val="28"/>
          <w:lang w:eastAsia="zh-CN"/>
        </w:rPr>
        <w:t>对甲方的违法违纪行为应及时举报。</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八、法律、法规的其它相关规定。</w:t>
      </w:r>
    </w:p>
    <w:p>
      <w:pPr>
        <w:spacing w:line="464" w:lineRule="exact"/>
        <w:rPr>
          <w:rFonts w:ascii="黑体" w:hAnsi="宋体" w:eastAsia="黑体"/>
          <w:sz w:val="28"/>
          <w:szCs w:val="28"/>
          <w:lang w:eastAsia="zh-CN"/>
        </w:rPr>
      </w:pPr>
      <w:r>
        <w:rPr>
          <w:rFonts w:ascii="仿宋_GB2312" w:hAnsi="宋体" w:eastAsia="仿宋_GB2312"/>
          <w:b/>
          <w:sz w:val="28"/>
          <w:szCs w:val="28"/>
          <w:lang w:eastAsia="zh-CN"/>
        </w:rPr>
        <w:t xml:space="preserve">  </w:t>
      </w:r>
      <w:r>
        <w:rPr>
          <w:rFonts w:ascii="黑体" w:hAnsi="宋体" w:eastAsia="黑体"/>
          <w:sz w:val="28"/>
          <w:szCs w:val="28"/>
          <w:lang w:eastAsia="zh-CN"/>
        </w:rPr>
        <w:t xml:space="preserve">  </w:t>
      </w:r>
      <w:r>
        <w:rPr>
          <w:rFonts w:hint="eastAsia" w:ascii="黑体" w:hAnsi="宋体" w:eastAsia="黑体"/>
          <w:sz w:val="28"/>
          <w:szCs w:val="28"/>
          <w:lang w:eastAsia="zh-CN"/>
        </w:rPr>
        <w:t>第九条</w:t>
      </w:r>
      <w:r>
        <w:rPr>
          <w:rFonts w:ascii="黑体" w:hAnsi="宋体" w:eastAsia="黑体"/>
          <w:sz w:val="28"/>
          <w:szCs w:val="28"/>
          <w:lang w:eastAsia="zh-CN"/>
        </w:rPr>
        <w:t xml:space="preserve">  </w:t>
      </w:r>
      <w:r>
        <w:rPr>
          <w:rFonts w:hint="eastAsia" w:ascii="黑体" w:hAnsi="宋体" w:eastAsia="黑体"/>
          <w:sz w:val="28"/>
          <w:szCs w:val="28"/>
          <w:lang w:eastAsia="zh-CN"/>
        </w:rPr>
        <w:t>违约责任</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一、甲方违反本合同的规定，违规采购非挂网中标药品，或无正当理由拒绝收货或违约付款的，承担违约责任，由西藏自治区卫生计生委会同西藏自治区纪检、纠风、检察等相关部门视情节轻重追究有关领导和责任人责任。</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二、在履行合同的过程中，如果乙方遇到特殊情况不能按时配送药品和提供伴随服务，应及时以书面形式将可能拖延的事实、时间和原因通知甲方。甲方在收到乙方书面通知后，应尽快对情况进行核实，并由甲方确定是否酌情延长交货时间以及是否收取违约金或终止合同。延期应通过修改合同的方式由双方认可并重新签署。</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三、如果乙方无不可抗拒因素，没有按照合同规定的时间配送药品并提供伴随服务，甲方有权从货款中扣除违约金而不影响本合同项下的其它义务的履行。每延误一周的违约金为迟交药品价款的</w:t>
      </w:r>
      <w:r>
        <w:rPr>
          <w:rFonts w:ascii="仿宋_GB2312" w:hAnsi="宋体" w:eastAsia="仿宋_GB2312"/>
          <w:sz w:val="28"/>
          <w:szCs w:val="28"/>
          <w:lang w:eastAsia="zh-CN"/>
        </w:rPr>
        <w:t>5%</w:t>
      </w:r>
      <w:r>
        <w:rPr>
          <w:rFonts w:hint="eastAsia" w:ascii="仿宋_GB2312" w:hAnsi="宋体" w:eastAsia="仿宋_GB2312"/>
          <w:sz w:val="28"/>
          <w:szCs w:val="28"/>
          <w:lang w:eastAsia="zh-CN"/>
        </w:rPr>
        <w:t>，直至提供配送及伴随服务为止。一周按</w:t>
      </w:r>
      <w:r>
        <w:rPr>
          <w:rFonts w:ascii="仿宋_GB2312" w:hAnsi="宋体" w:eastAsia="仿宋_GB2312"/>
          <w:sz w:val="28"/>
          <w:szCs w:val="28"/>
          <w:lang w:eastAsia="zh-CN"/>
        </w:rPr>
        <w:t>7</w:t>
      </w:r>
      <w:r>
        <w:rPr>
          <w:rFonts w:hint="eastAsia" w:ascii="仿宋_GB2312" w:hAnsi="宋体" w:eastAsia="仿宋_GB2312"/>
          <w:sz w:val="28"/>
          <w:szCs w:val="28"/>
          <w:lang w:eastAsia="zh-CN"/>
        </w:rPr>
        <w:t>日计算，不足</w:t>
      </w:r>
      <w:r>
        <w:rPr>
          <w:rFonts w:ascii="仿宋_GB2312" w:hAnsi="宋体" w:eastAsia="仿宋_GB2312"/>
          <w:sz w:val="28"/>
          <w:szCs w:val="28"/>
          <w:lang w:eastAsia="zh-CN"/>
        </w:rPr>
        <w:t>7</w:t>
      </w:r>
      <w:r>
        <w:rPr>
          <w:rFonts w:hint="eastAsia" w:ascii="仿宋_GB2312" w:hAnsi="宋体" w:eastAsia="仿宋_GB2312"/>
          <w:sz w:val="28"/>
          <w:szCs w:val="28"/>
          <w:lang w:eastAsia="zh-CN"/>
        </w:rPr>
        <w:t>日的按一周计算。违约金的最高限额是合同总价的</w:t>
      </w:r>
      <w:r>
        <w:rPr>
          <w:rFonts w:ascii="仿宋_GB2312" w:hAnsi="宋体" w:eastAsia="仿宋_GB2312"/>
          <w:sz w:val="28"/>
          <w:szCs w:val="28"/>
          <w:lang w:eastAsia="zh-CN"/>
        </w:rPr>
        <w:t>10%</w:t>
      </w:r>
      <w:r>
        <w:rPr>
          <w:rFonts w:hint="eastAsia" w:ascii="仿宋_GB2312" w:hAnsi="宋体" w:eastAsia="仿宋_GB2312"/>
          <w:sz w:val="28"/>
          <w:szCs w:val="28"/>
          <w:lang w:eastAsia="zh-CN"/>
        </w:rPr>
        <w:t>，一旦达到违约金的最高限额，甲方可以终止合同，乙方本周期和下一周期不得参加西藏自治区药品集中采购活动，同时将其列入不良记录，向社会公布。</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四、乙方在支付违约金后，还应当履行应尽的配送及伴随服务。</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五、甲方不按合同规定的期限支付货款，应向乙方支付违约金。每延期一天，向乙方赔付未支付货款的万分之五违约金，同时不影响乙方享有已履约事项的权利。</w:t>
      </w:r>
    </w:p>
    <w:p>
      <w:pPr>
        <w:spacing w:line="464"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六、乙方所供药品因药品质量不符合有关规定而造成后果的，按相关法律规定处理。</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七、甲、乙方因违反“两票制”，按相关规定处理。</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第十条</w:t>
      </w:r>
      <w:r>
        <w:rPr>
          <w:rFonts w:ascii="黑体" w:hAnsi="宋体" w:eastAsia="黑体"/>
          <w:sz w:val="28"/>
          <w:szCs w:val="28"/>
          <w:lang w:eastAsia="zh-CN"/>
        </w:rPr>
        <w:t xml:space="preserve">  </w:t>
      </w:r>
      <w:r>
        <w:rPr>
          <w:rFonts w:hint="eastAsia" w:ascii="黑体" w:hAnsi="宋体" w:eastAsia="黑体"/>
          <w:sz w:val="28"/>
          <w:szCs w:val="28"/>
          <w:lang w:eastAsia="zh-CN"/>
        </w:rPr>
        <w:t>不可抗力</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一、合同当事人因不可抗力而导致合同实施延误或不能履行合同义务，不承担误期赔偿或终止合同的责任。</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二、本条所述的“不可抗力”是指合同双方无法控制、不可预见的事件，但不包括合同某一方的违约或疏忽。这些事件包括但不限于：战争、严重火灾、洪水、台风、地震及其它双方商定的事件。甲乙双方或一方因不可抗力而导致合同实施延误或不能履行合同义务，不承担误期赔偿或终止合同的责任。</w:t>
      </w:r>
    </w:p>
    <w:p>
      <w:pPr>
        <w:spacing w:line="464"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三、在不可抗力事件发生后，合同双方应尽快以书面形式将不可抗力的情况和原因通知对方。除另行要求外，合同双方应尽实际可能继续履行合同义务，以及寻求采取合理的方案履行不受不可抗力影响的其他事项。不可抗力事件影响消除后，双方可通过协商在合理的时间内达成进一步履行合同的协议。</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四、在不可抗力事件发生期间，合同双方可不执行“两票制”。</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第十一条</w:t>
      </w:r>
      <w:r>
        <w:rPr>
          <w:rFonts w:ascii="黑体" w:hAnsi="宋体" w:eastAsia="黑体"/>
          <w:sz w:val="28"/>
          <w:szCs w:val="28"/>
          <w:lang w:eastAsia="zh-CN"/>
        </w:rPr>
        <w:t xml:space="preserve">  </w:t>
      </w:r>
      <w:r>
        <w:rPr>
          <w:rFonts w:hint="eastAsia" w:ascii="黑体" w:hAnsi="宋体" w:eastAsia="黑体"/>
          <w:sz w:val="28"/>
          <w:szCs w:val="28"/>
          <w:lang w:eastAsia="zh-CN"/>
        </w:rPr>
        <w:t>合同的变更及解除</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在履行合同的过程中，乙方应按照药品购销合同中甲方规定的时间，配送药品并提供伴随服务。如果乙方遇到妨碍按时配送药品和提供伴随服务的情况时，应及时告知甲方，并以书面形式将拖延的事实、可能拖延的时间和原因通知甲方。甲方在收到乙方通知后，应尽快对情况进行核实，并由甲方确定是否酌情延长交货时间以及是否收取违约金或终止合同。延期应通过变更合同的方式由双方认可并重新签署确定。如乙方无正当理由拖延交货，甲方可终止合同。</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由于药品生产企业关、停、并、转的原因造成合同不能履行的，乙方应及时向甲方通报并提供省级以上药监部门证明，双方可以解除就该药品订立的合同，合同如需变更，须经双方协商解决。</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第十二条</w:t>
      </w:r>
      <w:r>
        <w:rPr>
          <w:rFonts w:ascii="黑体" w:hAnsi="宋体" w:eastAsia="黑体"/>
          <w:sz w:val="28"/>
          <w:szCs w:val="28"/>
          <w:lang w:eastAsia="zh-CN"/>
        </w:rPr>
        <w:t xml:space="preserve">  </w:t>
      </w:r>
      <w:r>
        <w:rPr>
          <w:rFonts w:hint="eastAsia" w:ascii="黑体" w:hAnsi="宋体" w:eastAsia="黑体"/>
          <w:sz w:val="28"/>
          <w:szCs w:val="28"/>
          <w:lang w:eastAsia="zh-CN"/>
        </w:rPr>
        <w:t>争议解决</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因合同引起的或与本合同有关的任何争议，由双方当事人协商解决；也可以向有关部门申请调解。协商或调解不成，</w:t>
      </w:r>
      <w:r>
        <w:rPr>
          <w:rFonts w:hint="eastAsia" w:ascii="仿宋_GB2312" w:hAnsi="宋体" w:eastAsia="仿宋_GB2312"/>
          <w:sz w:val="28"/>
          <w:szCs w:val="28"/>
        </w:rPr>
        <w:t>向甲方所在地有管辖权的人民法院起诉。</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第十三条</w:t>
      </w:r>
      <w:r>
        <w:rPr>
          <w:rFonts w:ascii="黑体" w:hAnsi="宋体" w:eastAsia="黑体"/>
          <w:sz w:val="28"/>
          <w:szCs w:val="28"/>
          <w:lang w:eastAsia="zh-CN"/>
        </w:rPr>
        <w:t xml:space="preserve">  </w:t>
      </w:r>
      <w:r>
        <w:rPr>
          <w:rFonts w:hint="eastAsia" w:ascii="黑体" w:hAnsi="宋体" w:eastAsia="黑体"/>
          <w:sz w:val="28"/>
          <w:szCs w:val="28"/>
          <w:lang w:eastAsia="zh-CN"/>
        </w:rPr>
        <w:t>终止合同</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一、采购期满合同终止。</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二、乙方违约采取的补救措施达不到合同规定的要求，甲方向乙方发出书面通知书，提出部分或全部终止合同。</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（一）如果乙方未能在合同规定的限期或甲方同意延长的限期内提供部分或全部药品。</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（二）如果乙方未能履行合同规定的其它任何义务。</w:t>
      </w:r>
    </w:p>
    <w:p>
      <w:pPr>
        <w:snapToGrid w:val="0"/>
        <w:spacing w:line="464" w:lineRule="exact"/>
        <w:ind w:firstLine="540"/>
        <w:rPr>
          <w:rFonts w:ascii="仿宋_GB2312" w:hAnsi="宋体" w:eastAsia="仿宋_GB2312"/>
          <w:sz w:val="28"/>
          <w:szCs w:val="28"/>
          <w:lang w:eastAsia="zh-CN"/>
        </w:rPr>
      </w:pPr>
      <w:r>
        <w:rPr>
          <w:rFonts w:hint="eastAsia" w:ascii="仿宋_GB2312" w:hAnsi="宋体" w:eastAsia="仿宋_GB2312"/>
          <w:sz w:val="28"/>
          <w:szCs w:val="28"/>
          <w:lang w:eastAsia="zh-CN"/>
        </w:rPr>
        <w:t>三、乙方破产或无清偿能力，乙方应及时以书面形式通知甲方，甲方可在任何时候以书面形式通知乙方，提出终止合同而不给乙方补偿。该终止合同将不损害或影响甲方已经采取或将要采取的任何行动或补救措施的权利。</w:t>
      </w:r>
    </w:p>
    <w:p>
      <w:pPr>
        <w:snapToGrid w:val="0"/>
        <w:spacing w:line="464" w:lineRule="exact"/>
        <w:ind w:firstLine="540"/>
        <w:rPr>
          <w:rFonts w:ascii="黑体" w:hAnsi="宋体" w:eastAsia="黑体"/>
          <w:sz w:val="28"/>
          <w:szCs w:val="28"/>
          <w:lang w:eastAsia="zh-CN"/>
        </w:rPr>
      </w:pPr>
      <w:r>
        <w:rPr>
          <w:rFonts w:hint="eastAsia" w:ascii="黑体" w:hAnsi="宋体" w:eastAsia="黑体"/>
          <w:sz w:val="28"/>
          <w:szCs w:val="28"/>
          <w:lang w:eastAsia="zh-CN"/>
        </w:rPr>
        <w:t>第十四条</w:t>
      </w:r>
      <w:r>
        <w:rPr>
          <w:rFonts w:ascii="黑体" w:hAnsi="宋体" w:eastAsia="黑体"/>
          <w:sz w:val="28"/>
          <w:szCs w:val="28"/>
          <w:lang w:eastAsia="zh-CN"/>
        </w:rPr>
        <w:t xml:space="preserve">  </w:t>
      </w:r>
      <w:r>
        <w:rPr>
          <w:rFonts w:hint="eastAsia" w:ascii="黑体" w:hAnsi="宋体" w:eastAsia="黑体"/>
          <w:sz w:val="28"/>
          <w:szCs w:val="28"/>
          <w:lang w:eastAsia="zh-CN"/>
        </w:rPr>
        <w:t>转让和分包</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除非甲方事先书面同意，否则乙方不得任何理由部分转让或全部转让其应履行的合同的权利和</w:t>
      </w:r>
      <w:r>
        <w:rPr>
          <w:rFonts w:ascii="仿宋_GB2312" w:hAnsi="宋体" w:eastAsia="仿宋_GB2312"/>
          <w:sz w:val="28"/>
          <w:szCs w:val="28"/>
          <w:lang w:eastAsia="zh-CN"/>
        </w:rPr>
        <w:t>/</w:t>
      </w:r>
      <w:r>
        <w:rPr>
          <w:rFonts w:hint="eastAsia" w:ascii="仿宋_GB2312" w:hAnsi="宋体" w:eastAsia="仿宋_GB2312"/>
          <w:sz w:val="28"/>
          <w:szCs w:val="28"/>
          <w:lang w:eastAsia="zh-CN"/>
        </w:rPr>
        <w:t>或义务。</w:t>
      </w:r>
      <w:r>
        <w:rPr>
          <w:rFonts w:hint="eastAsia" w:ascii="仿宋_GB2312" w:hAnsi="宋体" w:eastAsia="仿宋_GB2312"/>
          <w:sz w:val="28"/>
          <w:szCs w:val="28"/>
        </w:rPr>
        <w:t>乙方擅自转让和分包本合同项下的权利义务的，甲方有权解除本合同，乙方应当向甲方支付违约金【】万元。</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第十五条</w:t>
      </w:r>
      <w:r>
        <w:rPr>
          <w:rFonts w:ascii="黑体" w:hAnsi="宋体" w:eastAsia="黑体"/>
          <w:sz w:val="28"/>
          <w:szCs w:val="28"/>
          <w:lang w:eastAsia="zh-CN"/>
        </w:rPr>
        <w:t xml:space="preserve">  </w:t>
      </w:r>
      <w:r>
        <w:rPr>
          <w:rFonts w:hint="eastAsia" w:ascii="黑体" w:hAnsi="宋体" w:eastAsia="黑体"/>
          <w:sz w:val="28"/>
          <w:szCs w:val="28"/>
          <w:lang w:eastAsia="zh-CN"/>
        </w:rPr>
        <w:t>适用范围</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本合同条款适用于参加西藏自治区药品集中采购的甲乙双方当事人。</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第十六条</w:t>
      </w:r>
      <w:r>
        <w:rPr>
          <w:rFonts w:ascii="黑体" w:hAnsi="宋体" w:eastAsia="黑体"/>
          <w:sz w:val="28"/>
          <w:szCs w:val="28"/>
          <w:lang w:eastAsia="zh-CN"/>
        </w:rPr>
        <w:t xml:space="preserve">  </w:t>
      </w:r>
      <w:r>
        <w:rPr>
          <w:rFonts w:hint="eastAsia" w:ascii="黑体" w:hAnsi="宋体" w:eastAsia="黑体"/>
          <w:sz w:val="28"/>
          <w:szCs w:val="28"/>
          <w:lang w:eastAsia="zh-CN"/>
        </w:rPr>
        <w:t>合同生效</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一、本合同自双方签订之日起生效，自本合同生效之日起在合同期内发生的有关网上交易的各项事宜，均受本合同的约束。</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二、本合同有效期从</w:t>
      </w:r>
      <w:r>
        <w:rPr>
          <w:rFonts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年</w:t>
      </w:r>
      <w:r>
        <w:rPr>
          <w:rFonts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月</w:t>
      </w:r>
      <w:r>
        <w:rPr>
          <w:rFonts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日起，至</w:t>
      </w:r>
      <w:r>
        <w:rPr>
          <w:rFonts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年</w:t>
      </w:r>
      <w:r>
        <w:rPr>
          <w:rFonts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月</w:t>
      </w:r>
      <w:r>
        <w:rPr>
          <w:rFonts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日止。</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三、本合同一式三份，甲、乙双方各存档一份、一份由甲方报西藏自治区药品采购服务管理中心备案。</w:t>
      </w:r>
    </w:p>
    <w:p>
      <w:pPr>
        <w:spacing w:line="464" w:lineRule="exact"/>
        <w:ind w:firstLine="548" w:firstLineChars="196"/>
        <w:rPr>
          <w:rFonts w:ascii="黑体" w:hAnsi="宋体" w:eastAsia="黑体"/>
          <w:sz w:val="28"/>
          <w:szCs w:val="28"/>
          <w:lang w:eastAsia="zh-CN"/>
        </w:rPr>
      </w:pPr>
      <w:r>
        <w:rPr>
          <w:rFonts w:hint="eastAsia" w:ascii="黑体" w:hAnsi="宋体" w:eastAsia="黑体"/>
          <w:sz w:val="28"/>
          <w:szCs w:val="28"/>
          <w:lang w:eastAsia="zh-CN"/>
        </w:rPr>
        <w:t>第十七条</w:t>
      </w:r>
      <w:r>
        <w:rPr>
          <w:rFonts w:ascii="黑体" w:hAnsi="宋体" w:eastAsia="黑体"/>
          <w:sz w:val="28"/>
          <w:szCs w:val="28"/>
          <w:lang w:eastAsia="zh-CN"/>
        </w:rPr>
        <w:t xml:space="preserve">  </w:t>
      </w:r>
      <w:r>
        <w:rPr>
          <w:rFonts w:hint="eastAsia" w:ascii="黑体" w:hAnsi="宋体" w:eastAsia="黑体"/>
          <w:sz w:val="28"/>
          <w:szCs w:val="28"/>
          <w:lang w:eastAsia="zh-CN"/>
        </w:rPr>
        <w:t>附则</w:t>
      </w:r>
    </w:p>
    <w:p>
      <w:pPr>
        <w:spacing w:line="464" w:lineRule="exact"/>
        <w:ind w:firstLine="548" w:firstLineChars="196"/>
        <w:rPr>
          <w:rFonts w:hint="eastAsia" w:ascii="仿宋_GB2312" w:hAnsi="宋体" w:eastAsia="仿宋_GB2312"/>
          <w:sz w:val="28"/>
          <w:szCs w:val="28"/>
          <w:lang w:eastAsia="zh-CN"/>
        </w:rPr>
      </w:pPr>
      <w:r>
        <w:rPr>
          <w:rFonts w:hint="eastAsia" w:ascii="仿宋_GB2312" w:hAnsi="宋体" w:eastAsia="仿宋_GB2312"/>
          <w:sz w:val="28"/>
          <w:szCs w:val="28"/>
          <w:lang w:eastAsia="zh-CN"/>
        </w:rPr>
        <w:t>一、由配送企业作为乙方与甲方签订本合同的，必须将中标生产企业正式合法有效的委托书作为本合同的必须附件。</w:t>
      </w:r>
    </w:p>
    <w:p>
      <w:pPr>
        <w:spacing w:line="464" w:lineRule="exact"/>
        <w:ind w:firstLine="548" w:firstLineChars="196"/>
        <w:rPr>
          <w:rFonts w:ascii="仿宋_GB2312" w:hAnsi="宋体" w:eastAsia="仿宋_GB2312"/>
          <w:sz w:val="28"/>
          <w:szCs w:val="28"/>
          <w:lang w:eastAsia="zh-CN"/>
        </w:rPr>
      </w:pPr>
      <w:r>
        <w:rPr>
          <w:rFonts w:hint="eastAsia" w:ascii="仿宋_GB2312" w:hAnsi="宋体" w:eastAsia="仿宋_GB2312"/>
          <w:sz w:val="28"/>
          <w:szCs w:val="28"/>
          <w:lang w:eastAsia="zh-CN"/>
        </w:rPr>
        <w:t>二、本合同未尽事项，应按《西藏自治区药品集中采购配送监督管理办法（试行）》（藏卫发〔</w:t>
      </w:r>
      <w:r>
        <w:rPr>
          <w:rFonts w:ascii="仿宋_GB2312" w:hAnsi="宋体" w:eastAsia="仿宋_GB2312"/>
          <w:sz w:val="28"/>
          <w:szCs w:val="28"/>
          <w:lang w:eastAsia="zh-CN"/>
        </w:rPr>
        <w:t>201</w:t>
      </w:r>
      <w:r>
        <w:rPr>
          <w:rFonts w:hint="eastAsia" w:ascii="仿宋_GB2312" w:hAnsi="宋体" w:eastAsia="仿宋_GB2312"/>
          <w:sz w:val="28"/>
          <w:szCs w:val="28"/>
          <w:lang w:eastAsia="zh-CN"/>
        </w:rPr>
        <w:t>7〕321号）、《国务院办公厅关于完善公立医院药品集中采购采购工作的指导意见》（国办发〔</w:t>
      </w:r>
      <w:r>
        <w:rPr>
          <w:rFonts w:ascii="仿宋_GB2312" w:hAnsi="宋体" w:eastAsia="仿宋_GB2312"/>
          <w:sz w:val="28"/>
          <w:szCs w:val="28"/>
          <w:lang w:eastAsia="zh-CN"/>
        </w:rPr>
        <w:t>2015</w:t>
      </w:r>
      <w:r>
        <w:rPr>
          <w:rFonts w:hint="eastAsia" w:ascii="仿宋_GB2312" w:hAnsi="宋体" w:eastAsia="仿宋_GB2312"/>
          <w:sz w:val="28"/>
          <w:szCs w:val="28"/>
          <w:lang w:eastAsia="zh-CN"/>
        </w:rPr>
        <w:t>〕</w:t>
      </w:r>
      <w:r>
        <w:rPr>
          <w:rFonts w:ascii="仿宋_GB2312" w:hAnsi="宋体" w:eastAsia="仿宋_GB2312"/>
          <w:sz w:val="28"/>
          <w:szCs w:val="28"/>
          <w:lang w:eastAsia="zh-CN"/>
        </w:rPr>
        <w:t>7</w:t>
      </w:r>
      <w:r>
        <w:rPr>
          <w:rFonts w:hint="eastAsia" w:ascii="仿宋_GB2312" w:hAnsi="宋体" w:eastAsia="仿宋_GB2312"/>
          <w:sz w:val="28"/>
          <w:szCs w:val="28"/>
          <w:lang w:eastAsia="zh-CN"/>
        </w:rPr>
        <w:t>号）、《国家卫生计生委关于落实完善公立医院药品集中采购工作指导意见的通知》（国卫药政发〔</w:t>
      </w:r>
      <w:r>
        <w:rPr>
          <w:rFonts w:ascii="仿宋_GB2312" w:hAnsi="宋体" w:eastAsia="仿宋_GB2312"/>
          <w:sz w:val="28"/>
          <w:szCs w:val="28"/>
          <w:lang w:eastAsia="zh-CN"/>
        </w:rPr>
        <w:t>2015</w:t>
      </w:r>
      <w:r>
        <w:rPr>
          <w:rFonts w:hint="eastAsia" w:ascii="仿宋_GB2312" w:hAnsi="宋体" w:eastAsia="仿宋_GB2312"/>
          <w:sz w:val="28"/>
          <w:szCs w:val="28"/>
          <w:lang w:eastAsia="zh-CN"/>
        </w:rPr>
        <w:t>〕</w:t>
      </w:r>
      <w:r>
        <w:rPr>
          <w:rFonts w:ascii="仿宋_GB2312" w:hAnsi="宋体" w:eastAsia="仿宋_GB2312"/>
          <w:sz w:val="28"/>
          <w:szCs w:val="28"/>
          <w:lang w:eastAsia="zh-CN"/>
        </w:rPr>
        <w:t>70</w:t>
      </w:r>
      <w:r>
        <w:rPr>
          <w:rFonts w:hint="eastAsia" w:ascii="仿宋_GB2312" w:hAnsi="宋体" w:eastAsia="仿宋_GB2312"/>
          <w:sz w:val="28"/>
          <w:szCs w:val="28"/>
          <w:lang w:eastAsia="zh-CN"/>
        </w:rPr>
        <w:t>号），以及有关药品管理规定执行。仍然无法确定的，经双方共同协商，可根据以上文件及相关法律法规的规定签订补充协议，补充协议与正式合同具有同等法律效力。</w:t>
      </w:r>
    </w:p>
    <w:p>
      <w:pPr>
        <w:spacing w:line="464" w:lineRule="exact"/>
        <w:ind w:firstLine="560" w:firstLineChars="200"/>
        <w:rPr>
          <w:rFonts w:ascii="仿宋_GB2312" w:hAnsi="宋体" w:eastAsia="仿宋_GB2312"/>
          <w:sz w:val="28"/>
          <w:szCs w:val="28"/>
          <w:lang w:eastAsia="zh-CN"/>
        </w:rPr>
      </w:pPr>
    </w:p>
    <w:p>
      <w:pPr>
        <w:spacing w:line="464" w:lineRule="exact"/>
        <w:ind w:left="6160" w:hanging="6160" w:hangingChars="2200"/>
        <w:rPr>
          <w:rFonts w:ascii="仿宋_GB2312" w:eastAsia="仿宋_GB2312"/>
          <w:sz w:val="28"/>
          <w:szCs w:val="28"/>
          <w:lang w:eastAsia="zh-CN"/>
        </w:rPr>
      </w:pPr>
      <w:r>
        <w:rPr>
          <w:rFonts w:hint="eastAsia" w:ascii="仿宋_GB2312" w:eastAsia="仿宋_GB2312"/>
          <w:sz w:val="28"/>
          <w:szCs w:val="28"/>
          <w:lang w:eastAsia="zh-CN"/>
        </w:rPr>
        <w:t>甲方（盖章）：</w:t>
      </w:r>
      <w:r>
        <w:rPr>
          <w:rFonts w:ascii="仿宋_GB2312" w:eastAsia="仿宋_GB2312"/>
          <w:sz w:val="28"/>
          <w:szCs w:val="28"/>
          <w:u w:val="single"/>
          <w:lang w:eastAsia="zh-CN"/>
        </w:rPr>
        <w:t xml:space="preserve">             </w:t>
      </w:r>
      <w:r>
        <w:rPr>
          <w:rFonts w:ascii="仿宋_GB2312" w:eastAsia="仿宋_GB2312"/>
          <w:sz w:val="28"/>
          <w:szCs w:val="28"/>
          <w:lang w:eastAsia="zh-CN"/>
        </w:rPr>
        <w:t xml:space="preserve">   </w:t>
      </w:r>
      <w:r>
        <w:rPr>
          <w:rFonts w:hint="eastAsia" w:ascii="仿宋_GB2312" w:eastAsia="仿宋_GB2312"/>
          <w:sz w:val="28"/>
          <w:szCs w:val="28"/>
          <w:lang w:eastAsia="zh-CN"/>
        </w:rPr>
        <w:t>乙方（盖章）：</w:t>
      </w:r>
    </w:p>
    <w:p>
      <w:pPr>
        <w:spacing w:line="464"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法定代表人（签字）：</w:t>
      </w:r>
      <w:r>
        <w:rPr>
          <w:rFonts w:ascii="仿宋_GB2312" w:eastAsia="仿宋_GB2312"/>
          <w:sz w:val="28"/>
          <w:szCs w:val="28"/>
          <w:u w:val="single"/>
          <w:lang w:eastAsia="zh-CN"/>
        </w:rPr>
        <w:t xml:space="preserve">       </w:t>
      </w:r>
      <w:r>
        <w:rPr>
          <w:rFonts w:ascii="仿宋_GB2312" w:eastAsia="仿宋_GB2312"/>
          <w:sz w:val="28"/>
          <w:szCs w:val="28"/>
          <w:lang w:eastAsia="zh-CN"/>
        </w:rPr>
        <w:t xml:space="preserve">   </w:t>
      </w:r>
      <w:r>
        <w:rPr>
          <w:rFonts w:hint="eastAsia" w:ascii="仿宋_GB2312" w:eastAsia="仿宋_GB2312"/>
          <w:sz w:val="28"/>
          <w:szCs w:val="28"/>
          <w:lang w:eastAsia="zh-CN"/>
        </w:rPr>
        <w:t>法定代表人（签字）：</w:t>
      </w:r>
      <w:r>
        <w:rPr>
          <w:rFonts w:ascii="仿宋_GB2312" w:eastAsia="仿宋_GB2312"/>
          <w:sz w:val="28"/>
          <w:szCs w:val="28"/>
          <w:u w:val="single"/>
          <w:lang w:eastAsia="zh-CN"/>
        </w:rPr>
        <w:t xml:space="preserve">      </w:t>
      </w:r>
    </w:p>
    <w:p>
      <w:pPr>
        <w:spacing w:line="464" w:lineRule="exact"/>
        <w:ind w:firstLine="560" w:firstLineChars="200"/>
        <w:rPr>
          <w:rFonts w:hint="eastAsia" w:ascii="仿宋_GB2312" w:eastAsia="仿宋_GB2312"/>
          <w:sz w:val="28"/>
          <w:szCs w:val="28"/>
          <w:lang w:eastAsia="zh-CN"/>
        </w:rPr>
      </w:pPr>
    </w:p>
    <w:p>
      <w:pPr>
        <w:spacing w:line="464" w:lineRule="exact"/>
        <w:ind w:firstLine="560" w:firstLineChars="200"/>
        <w:rPr>
          <w:rFonts w:ascii="仿宋_GB2312" w:eastAsia="仿宋_GB2312"/>
          <w:sz w:val="28"/>
          <w:szCs w:val="28"/>
          <w:u w:val="single"/>
          <w:lang w:eastAsia="zh-CN"/>
        </w:rPr>
      </w:pPr>
      <w:r>
        <w:rPr>
          <w:rFonts w:hint="eastAsia" w:ascii="仿宋_GB2312" w:eastAsia="仿宋_GB2312"/>
          <w:sz w:val="28"/>
          <w:szCs w:val="28"/>
          <w:lang w:eastAsia="zh-CN"/>
        </w:rPr>
        <w:t>被授权人（签字）：</w:t>
      </w:r>
      <w:r>
        <w:rPr>
          <w:rFonts w:ascii="仿宋_GB2312" w:eastAsia="仿宋_GB2312"/>
          <w:sz w:val="28"/>
          <w:szCs w:val="28"/>
          <w:u w:val="single"/>
          <w:lang w:eastAsia="zh-CN"/>
        </w:rPr>
        <w:t xml:space="preserve">         </w:t>
      </w:r>
      <w:r>
        <w:rPr>
          <w:rFonts w:ascii="仿宋_GB2312" w:eastAsia="仿宋_GB2312"/>
          <w:sz w:val="28"/>
          <w:szCs w:val="28"/>
          <w:lang w:eastAsia="zh-CN"/>
        </w:rPr>
        <w:t xml:space="preserve">   </w:t>
      </w:r>
      <w:r>
        <w:rPr>
          <w:rFonts w:hint="eastAsia" w:ascii="仿宋_GB2312" w:eastAsia="仿宋_GB2312"/>
          <w:sz w:val="28"/>
          <w:szCs w:val="28"/>
          <w:lang w:eastAsia="zh-CN"/>
        </w:rPr>
        <w:t>被授权人（签字）</w:t>
      </w:r>
      <w:r>
        <w:rPr>
          <w:rFonts w:ascii="仿宋_GB2312" w:eastAsia="仿宋_GB2312"/>
          <w:sz w:val="28"/>
          <w:szCs w:val="28"/>
          <w:u w:val="single"/>
          <w:lang w:eastAsia="zh-CN"/>
        </w:rPr>
        <w:t xml:space="preserve">     </w:t>
      </w:r>
      <w:r>
        <w:rPr>
          <w:rFonts w:hint="eastAsia" w:ascii="仿宋_GB2312" w:eastAsia="仿宋_GB2312"/>
          <w:sz w:val="28"/>
          <w:szCs w:val="28"/>
          <w:u w:val="single"/>
          <w:lang w:eastAsia="zh-CN"/>
        </w:rPr>
        <w:t xml:space="preserve"> </w:t>
      </w:r>
      <w:r>
        <w:rPr>
          <w:rFonts w:ascii="仿宋_GB2312" w:eastAsia="仿宋_GB2312"/>
          <w:sz w:val="28"/>
          <w:szCs w:val="28"/>
          <w:u w:val="single"/>
          <w:lang w:eastAsia="zh-CN"/>
        </w:rPr>
        <w:t xml:space="preserve">    </w:t>
      </w:r>
    </w:p>
    <w:p>
      <w:pPr>
        <w:spacing w:line="464" w:lineRule="exact"/>
        <w:ind w:firstLine="560" w:firstLineChars="200"/>
        <w:rPr>
          <w:rFonts w:hint="eastAsia" w:ascii="仿宋_GB2312" w:eastAsia="仿宋_GB2312"/>
          <w:sz w:val="28"/>
          <w:szCs w:val="28"/>
          <w:lang w:eastAsia="zh-CN"/>
        </w:rPr>
      </w:pPr>
    </w:p>
    <w:p>
      <w:pPr>
        <w:spacing w:line="464"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联系电话：</w:t>
      </w:r>
      <w:r>
        <w:rPr>
          <w:rFonts w:ascii="仿宋_GB2312" w:eastAsia="仿宋_GB2312"/>
          <w:sz w:val="28"/>
          <w:szCs w:val="28"/>
          <w:u w:val="single"/>
          <w:lang w:eastAsia="zh-CN"/>
        </w:rPr>
        <w:t xml:space="preserve">       </w:t>
      </w:r>
      <w:r>
        <w:rPr>
          <w:rFonts w:hint="eastAsia" w:ascii="仿宋_GB2312" w:eastAsia="仿宋_GB2312"/>
          <w:sz w:val="28"/>
          <w:szCs w:val="28"/>
          <w:u w:val="single"/>
          <w:lang w:eastAsia="zh-CN"/>
        </w:rPr>
        <w:t xml:space="preserve"> </w:t>
      </w:r>
      <w:r>
        <w:rPr>
          <w:rFonts w:ascii="仿宋_GB2312" w:eastAsia="仿宋_GB2312"/>
          <w:sz w:val="28"/>
          <w:szCs w:val="28"/>
          <w:u w:val="single"/>
          <w:lang w:eastAsia="zh-CN"/>
        </w:rPr>
        <w:t xml:space="preserve">         </w:t>
      </w:r>
      <w:r>
        <w:rPr>
          <w:rFonts w:ascii="仿宋_GB2312" w:eastAsia="仿宋_GB2312"/>
          <w:sz w:val="28"/>
          <w:szCs w:val="28"/>
          <w:lang w:eastAsia="zh-CN"/>
        </w:rPr>
        <w:t xml:space="preserve">   </w:t>
      </w:r>
      <w:r>
        <w:rPr>
          <w:rFonts w:hint="eastAsia" w:ascii="仿宋_GB2312" w:eastAsia="仿宋_GB2312"/>
          <w:sz w:val="28"/>
          <w:szCs w:val="28"/>
          <w:lang w:eastAsia="zh-CN"/>
        </w:rPr>
        <w:t>联系电话：</w:t>
      </w:r>
      <w:r>
        <w:rPr>
          <w:rFonts w:ascii="仿宋_GB2312" w:eastAsia="仿宋_GB2312"/>
          <w:sz w:val="28"/>
          <w:szCs w:val="28"/>
          <w:u w:val="single"/>
          <w:lang w:eastAsia="zh-CN"/>
        </w:rPr>
        <w:t xml:space="preserve">         </w:t>
      </w:r>
      <w:r>
        <w:rPr>
          <w:rFonts w:hint="eastAsia" w:ascii="仿宋_GB2312" w:eastAsia="仿宋_GB2312"/>
          <w:sz w:val="28"/>
          <w:szCs w:val="28"/>
          <w:u w:val="single"/>
          <w:lang w:eastAsia="zh-CN"/>
        </w:rPr>
        <w:t xml:space="preserve"> </w:t>
      </w:r>
      <w:r>
        <w:rPr>
          <w:rFonts w:ascii="仿宋_GB2312" w:eastAsia="仿宋_GB2312"/>
          <w:sz w:val="28"/>
          <w:szCs w:val="28"/>
          <w:u w:val="single"/>
          <w:lang w:eastAsia="zh-CN"/>
        </w:rPr>
        <w:t xml:space="preserve">      </w:t>
      </w:r>
    </w:p>
    <w:p>
      <w:pPr>
        <w:spacing w:line="464" w:lineRule="exact"/>
        <w:ind w:firstLine="560" w:firstLineChars="200"/>
        <w:rPr>
          <w:rFonts w:hint="eastAsia" w:ascii="仿宋_GB2312" w:eastAsia="仿宋_GB2312"/>
          <w:sz w:val="28"/>
          <w:szCs w:val="28"/>
          <w:lang w:eastAsia="zh-CN"/>
        </w:rPr>
      </w:pPr>
    </w:p>
    <w:p>
      <w:pPr>
        <w:spacing w:line="464"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签约日期：</w:t>
      </w:r>
      <w:r>
        <w:rPr>
          <w:rFonts w:ascii="仿宋_GB2312" w:eastAsia="仿宋_GB2312"/>
          <w:sz w:val="28"/>
          <w:szCs w:val="28"/>
          <w:u w:val="single"/>
          <w:lang w:eastAsia="zh-CN"/>
        </w:rPr>
        <w:t xml:space="preserve">  </w:t>
      </w:r>
      <w:r>
        <w:rPr>
          <w:rFonts w:hint="eastAsia" w:ascii="仿宋_GB2312" w:eastAsia="仿宋_GB2312"/>
          <w:sz w:val="28"/>
          <w:szCs w:val="28"/>
          <w:u w:val="single"/>
          <w:lang w:eastAsia="zh-CN"/>
        </w:rPr>
        <w:t xml:space="preserve"> </w:t>
      </w:r>
      <w:r>
        <w:rPr>
          <w:rFonts w:ascii="仿宋_GB2312" w:eastAsia="仿宋_GB2312"/>
          <w:sz w:val="28"/>
          <w:szCs w:val="28"/>
          <w:u w:val="single"/>
          <w:lang w:eastAsia="zh-CN"/>
        </w:rPr>
        <w:t xml:space="preserve">  </w:t>
      </w:r>
      <w:r>
        <w:rPr>
          <w:rFonts w:hint="eastAsia" w:ascii="仿宋_GB2312" w:eastAsia="仿宋_GB2312"/>
          <w:sz w:val="28"/>
          <w:szCs w:val="28"/>
          <w:lang w:eastAsia="zh-CN"/>
        </w:rPr>
        <w:t>年</w:t>
      </w:r>
      <w:r>
        <w:rPr>
          <w:rFonts w:ascii="仿宋_GB2312" w:eastAsia="仿宋_GB2312"/>
          <w:sz w:val="28"/>
          <w:szCs w:val="28"/>
          <w:u w:val="single"/>
          <w:lang w:eastAsia="zh-CN"/>
        </w:rPr>
        <w:t xml:space="preserve">   </w:t>
      </w:r>
      <w:r>
        <w:rPr>
          <w:rFonts w:hint="eastAsia" w:ascii="仿宋_GB2312" w:eastAsia="仿宋_GB2312"/>
          <w:sz w:val="28"/>
          <w:szCs w:val="28"/>
          <w:lang w:eastAsia="zh-CN"/>
        </w:rPr>
        <w:t>月</w:t>
      </w:r>
      <w:r>
        <w:rPr>
          <w:rFonts w:ascii="仿宋_GB2312" w:eastAsia="仿宋_GB2312"/>
          <w:sz w:val="28"/>
          <w:szCs w:val="28"/>
          <w:u w:val="single"/>
          <w:lang w:eastAsia="zh-CN"/>
        </w:rPr>
        <w:t xml:space="preserve">   </w:t>
      </w:r>
      <w:r>
        <w:rPr>
          <w:rFonts w:hint="eastAsia" w:ascii="仿宋_GB2312" w:eastAsia="仿宋_GB2312"/>
          <w:sz w:val="28"/>
          <w:szCs w:val="28"/>
          <w:lang w:eastAsia="zh-CN"/>
        </w:rPr>
        <w:t>日</w:t>
      </w:r>
      <w:r>
        <w:rPr>
          <w:rFonts w:ascii="仿宋_GB2312" w:eastAsia="仿宋_GB2312"/>
          <w:sz w:val="28"/>
          <w:szCs w:val="28"/>
          <w:lang w:eastAsia="zh-CN"/>
        </w:rPr>
        <w:t xml:space="preserve">   </w:t>
      </w:r>
      <w:r>
        <w:rPr>
          <w:rFonts w:hint="eastAsia" w:ascii="仿宋_GB2312" w:eastAsia="仿宋_GB2312"/>
          <w:sz w:val="28"/>
          <w:szCs w:val="28"/>
          <w:lang w:eastAsia="zh-CN"/>
        </w:rPr>
        <w:t>签约日期：</w:t>
      </w:r>
      <w:r>
        <w:rPr>
          <w:rFonts w:ascii="仿宋_GB2312" w:eastAsia="仿宋_GB2312"/>
          <w:sz w:val="28"/>
          <w:szCs w:val="28"/>
          <w:u w:val="single"/>
          <w:lang w:eastAsia="zh-CN"/>
        </w:rPr>
        <w:t xml:space="preserve">  </w:t>
      </w:r>
      <w:r>
        <w:rPr>
          <w:rFonts w:hint="eastAsia" w:ascii="仿宋_GB2312" w:eastAsia="仿宋_GB2312"/>
          <w:sz w:val="28"/>
          <w:szCs w:val="28"/>
          <w:u w:val="single"/>
          <w:lang w:eastAsia="zh-CN"/>
        </w:rPr>
        <w:t xml:space="preserve"> </w:t>
      </w:r>
      <w:r>
        <w:rPr>
          <w:rFonts w:ascii="仿宋_GB2312" w:eastAsia="仿宋_GB2312"/>
          <w:sz w:val="28"/>
          <w:szCs w:val="28"/>
          <w:u w:val="single"/>
          <w:lang w:eastAsia="zh-CN"/>
        </w:rPr>
        <w:t xml:space="preserve">  </w:t>
      </w:r>
      <w:r>
        <w:rPr>
          <w:rFonts w:hint="eastAsia" w:ascii="仿宋_GB2312" w:eastAsia="仿宋_GB2312"/>
          <w:sz w:val="28"/>
          <w:szCs w:val="28"/>
          <w:lang w:eastAsia="zh-CN"/>
        </w:rPr>
        <w:t>年</w:t>
      </w:r>
      <w:r>
        <w:rPr>
          <w:rFonts w:ascii="仿宋_GB2312" w:eastAsia="仿宋_GB2312"/>
          <w:sz w:val="28"/>
          <w:szCs w:val="28"/>
          <w:u w:val="single"/>
          <w:lang w:eastAsia="zh-CN"/>
        </w:rPr>
        <w:t xml:space="preserve">   </w:t>
      </w:r>
      <w:r>
        <w:rPr>
          <w:rFonts w:hint="eastAsia" w:ascii="仿宋_GB2312" w:eastAsia="仿宋_GB2312"/>
          <w:sz w:val="28"/>
          <w:szCs w:val="28"/>
          <w:lang w:eastAsia="zh-CN"/>
        </w:rPr>
        <w:t>月</w:t>
      </w:r>
      <w:r>
        <w:rPr>
          <w:rFonts w:ascii="仿宋_GB2312" w:eastAsia="仿宋_GB2312"/>
          <w:sz w:val="28"/>
          <w:szCs w:val="28"/>
          <w:u w:val="single"/>
          <w:lang w:eastAsia="zh-CN"/>
        </w:rPr>
        <w:t xml:space="preserve">   </w:t>
      </w:r>
      <w:r>
        <w:rPr>
          <w:rFonts w:hint="eastAsia" w:ascii="仿宋_GB2312" w:eastAsia="仿宋_GB2312"/>
          <w:sz w:val="28"/>
          <w:szCs w:val="28"/>
          <w:lang w:eastAsia="zh-CN"/>
        </w:rPr>
        <w:t>日</w:t>
      </w:r>
    </w:p>
    <w:p>
      <w:pPr>
        <w:spacing w:line="500" w:lineRule="exact"/>
        <w:rPr>
          <w:rFonts w:ascii="仿宋_GB2312" w:hAnsi="黑体" w:eastAsia="仿宋_GB2312"/>
          <w:sz w:val="32"/>
          <w:szCs w:val="28"/>
          <w:lang w:eastAsia="zh-CN"/>
        </w:rPr>
        <w:sectPr>
          <w:headerReference r:id="rId9" w:type="default"/>
          <w:footerReference r:id="rId10" w:type="default"/>
          <w:footerReference r:id="rId11" w:type="even"/>
          <w:pgSz w:w="11907" w:h="16840"/>
          <w:pgMar w:top="1440" w:right="1531" w:bottom="1440" w:left="1531" w:header="851" w:footer="680" w:gutter="0"/>
          <w:pgNumType w:fmt="numberInDash" w:start="1"/>
          <w:cols w:space="720" w:num="1"/>
          <w:docGrid w:type="linesAndChars" w:linePitch="312" w:charSpace="0"/>
        </w:sectPr>
      </w:pPr>
    </w:p>
    <w:tbl>
      <w:tblPr>
        <w:tblStyle w:val="30"/>
        <w:tblpPr w:leftFromText="180" w:rightFromText="180" w:vertAnchor="text" w:horzAnchor="page" w:tblpX="541" w:tblpY="398"/>
        <w:tblOverlap w:val="never"/>
        <w:tblW w:w="10979" w:type="dxa"/>
        <w:tblInd w:w="0" w:type="dxa"/>
        <w:tblLayout w:type="fixed"/>
        <w:tblCellMar>
          <w:top w:w="0" w:type="dxa"/>
          <w:left w:w="108" w:type="dxa"/>
          <w:bottom w:w="0" w:type="dxa"/>
          <w:right w:w="108" w:type="dxa"/>
        </w:tblCellMar>
      </w:tblPr>
      <w:tblGrid>
        <w:gridCol w:w="1119"/>
        <w:gridCol w:w="716"/>
        <w:gridCol w:w="1056"/>
        <w:gridCol w:w="939"/>
        <w:gridCol w:w="821"/>
        <w:gridCol w:w="587"/>
        <w:gridCol w:w="821"/>
        <w:gridCol w:w="1174"/>
        <w:gridCol w:w="1408"/>
        <w:gridCol w:w="1408"/>
        <w:gridCol w:w="930"/>
      </w:tblGrid>
      <w:tr>
        <w:tblPrEx>
          <w:tblCellMar>
            <w:top w:w="0" w:type="dxa"/>
            <w:left w:w="108" w:type="dxa"/>
            <w:bottom w:w="0" w:type="dxa"/>
            <w:right w:w="108" w:type="dxa"/>
          </w:tblCellMar>
        </w:tblPrEx>
        <w:trPr>
          <w:trHeight w:val="547" w:hRule="atLeast"/>
        </w:trPr>
        <w:tc>
          <w:tcPr>
            <w:tcW w:w="10979" w:type="dxa"/>
            <w:gridSpan w:val="11"/>
            <w:tcBorders>
              <w:top w:val="nil"/>
              <w:left w:val="nil"/>
              <w:bottom w:val="nil"/>
              <w:right w:val="nil"/>
            </w:tcBorders>
            <w:noWrap w:val="0"/>
            <w:vAlign w:val="bottom"/>
          </w:tcPr>
          <w:p>
            <w:pPr>
              <w:jc w:val="center"/>
              <w:rPr>
                <w:rFonts w:ascii="小标宋" w:eastAsia="小标宋" w:cs="宋体"/>
                <w:bCs/>
                <w:sz w:val="30"/>
                <w:szCs w:val="30"/>
                <w:lang w:eastAsia="zh-CN"/>
              </w:rPr>
            </w:pPr>
            <w:r>
              <w:rPr>
                <w:rFonts w:hint="eastAsia" w:ascii="小标宋" w:hAnsi="宋体" w:eastAsia="小标宋" w:cs="宋体"/>
                <w:bCs/>
                <w:sz w:val="30"/>
                <w:szCs w:val="30"/>
                <w:lang w:val="en-US" w:eastAsia="zh-CN"/>
              </w:rPr>
              <w:t>西藏康城肿瘤医院</w:t>
            </w:r>
            <w:r>
              <w:rPr>
                <w:rFonts w:hint="eastAsia" w:ascii="小标宋" w:hAnsi="宋体" w:eastAsia="小标宋" w:cs="宋体"/>
                <w:bCs/>
                <w:sz w:val="30"/>
                <w:szCs w:val="30"/>
                <w:lang w:eastAsia="zh-CN"/>
              </w:rPr>
              <w:t>药品采购合同药品明细表</w:t>
            </w:r>
          </w:p>
        </w:tc>
      </w:tr>
      <w:tr>
        <w:tblPrEx>
          <w:tblCellMar>
            <w:top w:w="0" w:type="dxa"/>
            <w:left w:w="108" w:type="dxa"/>
            <w:bottom w:w="0" w:type="dxa"/>
            <w:right w:w="108" w:type="dxa"/>
          </w:tblCellMar>
        </w:tblPrEx>
        <w:trPr>
          <w:trHeight w:val="495" w:hRule="atLeast"/>
        </w:trPr>
        <w:tc>
          <w:tcPr>
            <w:tcW w:w="10979" w:type="dxa"/>
            <w:gridSpan w:val="11"/>
            <w:tcBorders>
              <w:top w:val="nil"/>
              <w:left w:val="nil"/>
              <w:bottom w:val="nil"/>
              <w:right w:val="nil"/>
            </w:tcBorders>
            <w:noWrap w:val="0"/>
            <w:vAlign w:val="center"/>
          </w:tcPr>
          <w:p>
            <w:pPr>
              <w:rPr>
                <w:rFonts w:ascii="仿宋_GB2312" w:eastAsia="仿宋_GB2312" w:cs="宋体"/>
                <w:b/>
                <w:bCs/>
                <w:lang w:eastAsia="zh-CN"/>
              </w:rPr>
            </w:pPr>
            <w:r>
              <w:rPr>
                <w:rFonts w:hint="eastAsia" w:ascii="仿宋_GB2312" w:hAnsi="宋体" w:eastAsia="仿宋_GB2312" w:cs="宋体"/>
                <w:b/>
                <w:bCs/>
                <w:lang w:eastAsia="zh-CN"/>
              </w:rPr>
              <w:t>甲方（盖章）：</w:t>
            </w:r>
            <w:r>
              <w:rPr>
                <w:rFonts w:ascii="仿宋_GB2312" w:hAnsi="宋体" w:eastAsia="仿宋_GB2312" w:cs="宋体"/>
                <w:b/>
                <w:bCs/>
                <w:lang w:eastAsia="zh-CN"/>
              </w:rPr>
              <w:t xml:space="preserve">                                              </w:t>
            </w:r>
            <w:r>
              <w:rPr>
                <w:rFonts w:hint="eastAsia" w:ascii="仿宋_GB2312" w:hAnsi="宋体" w:eastAsia="仿宋_GB2312" w:cs="宋体"/>
                <w:b/>
                <w:bCs/>
                <w:lang w:eastAsia="zh-CN"/>
              </w:rPr>
              <w:t>乙方（盖章）：</w:t>
            </w:r>
            <w:r>
              <w:rPr>
                <w:rFonts w:ascii="仿宋_GB2312" w:hAnsi="宋体" w:eastAsia="仿宋_GB2312" w:cs="宋体"/>
                <w:b/>
                <w:bCs/>
                <w:lang w:eastAsia="zh-CN"/>
              </w:rPr>
              <w:t xml:space="preserve">                             </w:t>
            </w:r>
          </w:p>
        </w:tc>
      </w:tr>
      <w:tr>
        <w:tblPrEx>
          <w:tblCellMar>
            <w:top w:w="0" w:type="dxa"/>
            <w:left w:w="108" w:type="dxa"/>
            <w:bottom w:w="0" w:type="dxa"/>
            <w:right w:w="108" w:type="dxa"/>
          </w:tblCellMar>
        </w:tblPrEx>
        <w:trPr>
          <w:trHeight w:val="590" w:hRule="atLeast"/>
        </w:trPr>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s="宋体"/>
                <w:bCs/>
              </w:rPr>
            </w:pPr>
            <w:r>
              <w:rPr>
                <w:rFonts w:hint="eastAsia" w:ascii="仿宋_GB2312" w:hAnsi="宋体" w:eastAsia="仿宋_GB2312" w:cs="宋体"/>
                <w:bCs/>
              </w:rPr>
              <w:t>采购目录序号</w:t>
            </w:r>
          </w:p>
        </w:tc>
        <w:tc>
          <w:tcPr>
            <w:tcW w:w="716"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cs="宋体"/>
                <w:bCs/>
              </w:rPr>
            </w:pPr>
            <w:r>
              <w:rPr>
                <w:rFonts w:hint="eastAsia" w:ascii="仿宋_GB2312" w:hAnsi="宋体" w:eastAsia="仿宋_GB2312" w:cs="宋体"/>
                <w:bCs/>
              </w:rPr>
              <w:t>药品通用名</w:t>
            </w:r>
          </w:p>
        </w:tc>
        <w:tc>
          <w:tcPr>
            <w:tcW w:w="1056"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cs="宋体"/>
                <w:bCs/>
              </w:rPr>
            </w:pPr>
            <w:r>
              <w:rPr>
                <w:rFonts w:hint="eastAsia" w:ascii="仿宋_GB2312" w:hAnsi="宋体" w:eastAsia="仿宋_GB2312" w:cs="宋体"/>
                <w:bCs/>
              </w:rPr>
              <w:t>剂型</w:t>
            </w:r>
          </w:p>
        </w:tc>
        <w:tc>
          <w:tcPr>
            <w:tcW w:w="939"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cs="宋体"/>
                <w:bCs/>
              </w:rPr>
            </w:pPr>
            <w:r>
              <w:rPr>
                <w:rFonts w:hint="eastAsia" w:ascii="仿宋_GB2312" w:hAnsi="宋体" w:eastAsia="仿宋_GB2312" w:cs="宋体"/>
                <w:bCs/>
              </w:rPr>
              <w:t>规格</w:t>
            </w:r>
          </w:p>
        </w:tc>
        <w:tc>
          <w:tcPr>
            <w:tcW w:w="821"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cs="宋体"/>
                <w:bCs/>
              </w:rPr>
            </w:pPr>
            <w:r>
              <w:rPr>
                <w:rFonts w:hint="eastAsia" w:ascii="仿宋_GB2312" w:hAnsi="宋体" w:eastAsia="仿宋_GB2312" w:cs="宋体"/>
                <w:bCs/>
              </w:rPr>
              <w:t>最小制剂单位</w:t>
            </w:r>
          </w:p>
        </w:tc>
        <w:tc>
          <w:tcPr>
            <w:tcW w:w="587"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cs="宋体"/>
                <w:bCs/>
              </w:rPr>
            </w:pPr>
            <w:r>
              <w:rPr>
                <w:rFonts w:hint="eastAsia" w:ascii="仿宋_GB2312" w:hAnsi="宋体" w:eastAsia="仿宋_GB2312" w:cs="宋体"/>
                <w:bCs/>
              </w:rPr>
              <w:t>转换系数</w:t>
            </w:r>
          </w:p>
        </w:tc>
        <w:tc>
          <w:tcPr>
            <w:tcW w:w="821"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cs="宋体"/>
                <w:bCs/>
              </w:rPr>
            </w:pPr>
            <w:r>
              <w:rPr>
                <w:rFonts w:hint="eastAsia" w:ascii="仿宋_GB2312" w:hAnsi="宋体" w:eastAsia="仿宋_GB2312" w:cs="宋体"/>
                <w:bCs/>
              </w:rPr>
              <w:t>最小包装单位</w:t>
            </w:r>
          </w:p>
        </w:tc>
        <w:tc>
          <w:tcPr>
            <w:tcW w:w="1174"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cs="宋体"/>
                <w:bCs/>
              </w:rPr>
            </w:pPr>
            <w:r>
              <w:rPr>
                <w:rFonts w:hint="eastAsia" w:ascii="仿宋_GB2312" w:eastAsia="仿宋_GB2312" w:cs="宋体"/>
                <w:bCs/>
              </w:rPr>
              <w:t>包装材质</w:t>
            </w:r>
          </w:p>
        </w:tc>
        <w:tc>
          <w:tcPr>
            <w:tcW w:w="1408"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cs="宋体"/>
                <w:bCs/>
              </w:rPr>
            </w:pPr>
            <w:r>
              <w:rPr>
                <w:rFonts w:hint="eastAsia" w:ascii="仿宋_GB2312" w:hAnsi="宋体" w:eastAsia="仿宋_GB2312" w:cs="宋体"/>
                <w:bCs/>
              </w:rPr>
              <w:t>生产企业</w:t>
            </w:r>
          </w:p>
        </w:tc>
        <w:tc>
          <w:tcPr>
            <w:tcW w:w="1408"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cs="宋体"/>
                <w:bCs/>
                <w:lang w:eastAsia="zh-CN"/>
              </w:rPr>
            </w:pPr>
            <w:r>
              <w:rPr>
                <w:rFonts w:hint="eastAsia" w:ascii="仿宋_GB2312" w:hAnsi="宋体" w:eastAsia="仿宋_GB2312" w:cs="宋体"/>
                <w:bCs/>
                <w:lang w:eastAsia="zh-CN"/>
              </w:rPr>
              <w:t>最小包装单位交易价格（元）</w:t>
            </w:r>
          </w:p>
        </w:tc>
        <w:tc>
          <w:tcPr>
            <w:tcW w:w="930"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eastAsia="仿宋_GB2312" w:cs="宋体"/>
                <w:bCs/>
                <w:lang w:val="en-US" w:eastAsia="zh-CN"/>
              </w:rPr>
            </w:pPr>
            <w:r>
              <w:rPr>
                <w:rFonts w:hint="eastAsia" w:ascii="仿宋_GB2312" w:hAnsi="宋体" w:eastAsia="仿宋_GB2312" w:cs="宋体"/>
                <w:bCs/>
                <w:lang w:val="en-US" w:eastAsia="zh-CN"/>
              </w:rPr>
              <w:t>医保编码</w:t>
            </w:r>
          </w:p>
        </w:tc>
      </w:tr>
      <w:tr>
        <w:tblPrEx>
          <w:tblCellMar>
            <w:top w:w="0" w:type="dxa"/>
            <w:left w:w="108" w:type="dxa"/>
            <w:bottom w:w="0" w:type="dxa"/>
            <w:right w:w="108" w:type="dxa"/>
          </w:tblCellMar>
        </w:tblPrEx>
        <w:trPr>
          <w:trHeight w:val="542" w:hRule="atLeast"/>
        </w:trPr>
        <w:tc>
          <w:tcPr>
            <w:tcW w:w="1119" w:type="dxa"/>
            <w:tcBorders>
              <w:top w:val="nil"/>
              <w:left w:val="single" w:color="auto" w:sz="4" w:space="0"/>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716"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1056"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939"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821"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587"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821"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1174" w:type="dxa"/>
            <w:tcBorders>
              <w:top w:val="nil"/>
              <w:left w:val="nil"/>
              <w:bottom w:val="single" w:color="auto" w:sz="4" w:space="0"/>
              <w:right w:val="single" w:color="auto" w:sz="4" w:space="0"/>
            </w:tcBorders>
            <w:noWrap w:val="0"/>
            <w:vAlign w:val="bottom"/>
          </w:tcPr>
          <w:p>
            <w:pPr>
              <w:rPr>
                <w:rFonts w:ascii="仿宋_GB2312" w:eastAsia="仿宋_GB2312" w:cs="宋体"/>
              </w:rPr>
            </w:pPr>
          </w:p>
        </w:tc>
        <w:tc>
          <w:tcPr>
            <w:tcW w:w="1408" w:type="dxa"/>
            <w:tcBorders>
              <w:top w:val="nil"/>
              <w:left w:val="nil"/>
              <w:bottom w:val="single" w:color="auto" w:sz="4" w:space="0"/>
              <w:right w:val="single" w:color="auto" w:sz="4" w:space="0"/>
            </w:tcBorders>
            <w:noWrap w:val="0"/>
            <w:vAlign w:val="bottom"/>
          </w:tcPr>
          <w:p>
            <w:pPr>
              <w:rPr>
                <w:rFonts w:ascii="仿宋_GB2312" w:eastAsia="仿宋_GB2312" w:cs="宋体"/>
              </w:rPr>
            </w:pPr>
          </w:p>
        </w:tc>
        <w:tc>
          <w:tcPr>
            <w:tcW w:w="1408"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930"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r>
      <w:tr>
        <w:tblPrEx>
          <w:tblCellMar>
            <w:top w:w="0" w:type="dxa"/>
            <w:left w:w="108" w:type="dxa"/>
            <w:bottom w:w="0" w:type="dxa"/>
            <w:right w:w="108" w:type="dxa"/>
          </w:tblCellMar>
        </w:tblPrEx>
        <w:trPr>
          <w:trHeight w:val="542" w:hRule="atLeast"/>
        </w:trPr>
        <w:tc>
          <w:tcPr>
            <w:tcW w:w="1119" w:type="dxa"/>
            <w:tcBorders>
              <w:top w:val="nil"/>
              <w:left w:val="single" w:color="auto" w:sz="4" w:space="0"/>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716"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1056"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939"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821"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587"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821"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1174" w:type="dxa"/>
            <w:tcBorders>
              <w:top w:val="nil"/>
              <w:left w:val="nil"/>
              <w:bottom w:val="single" w:color="auto" w:sz="4" w:space="0"/>
              <w:right w:val="single" w:color="auto" w:sz="4" w:space="0"/>
            </w:tcBorders>
            <w:noWrap w:val="0"/>
            <w:vAlign w:val="bottom"/>
          </w:tcPr>
          <w:p>
            <w:pPr>
              <w:rPr>
                <w:rFonts w:ascii="仿宋_GB2312" w:eastAsia="仿宋_GB2312" w:cs="宋体"/>
              </w:rPr>
            </w:pPr>
          </w:p>
        </w:tc>
        <w:tc>
          <w:tcPr>
            <w:tcW w:w="1408" w:type="dxa"/>
            <w:tcBorders>
              <w:top w:val="nil"/>
              <w:left w:val="nil"/>
              <w:bottom w:val="single" w:color="auto" w:sz="4" w:space="0"/>
              <w:right w:val="single" w:color="auto" w:sz="4" w:space="0"/>
            </w:tcBorders>
            <w:noWrap w:val="0"/>
            <w:vAlign w:val="bottom"/>
          </w:tcPr>
          <w:p>
            <w:pPr>
              <w:rPr>
                <w:rFonts w:ascii="仿宋_GB2312" w:eastAsia="仿宋_GB2312" w:cs="宋体"/>
              </w:rPr>
            </w:pPr>
          </w:p>
        </w:tc>
        <w:tc>
          <w:tcPr>
            <w:tcW w:w="1408"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930"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r>
      <w:tr>
        <w:tblPrEx>
          <w:tblCellMar>
            <w:top w:w="0" w:type="dxa"/>
            <w:left w:w="108" w:type="dxa"/>
            <w:bottom w:w="0" w:type="dxa"/>
            <w:right w:w="108" w:type="dxa"/>
          </w:tblCellMar>
        </w:tblPrEx>
        <w:trPr>
          <w:trHeight w:val="542" w:hRule="atLeast"/>
        </w:trPr>
        <w:tc>
          <w:tcPr>
            <w:tcW w:w="1119" w:type="dxa"/>
            <w:tcBorders>
              <w:top w:val="nil"/>
              <w:left w:val="single" w:color="auto" w:sz="4" w:space="0"/>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716"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1056"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939"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821"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587"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821"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1174" w:type="dxa"/>
            <w:tcBorders>
              <w:top w:val="nil"/>
              <w:left w:val="nil"/>
              <w:bottom w:val="single" w:color="auto" w:sz="4" w:space="0"/>
              <w:right w:val="single" w:color="auto" w:sz="4" w:space="0"/>
            </w:tcBorders>
            <w:noWrap w:val="0"/>
            <w:vAlign w:val="bottom"/>
          </w:tcPr>
          <w:p>
            <w:pPr>
              <w:rPr>
                <w:rFonts w:ascii="仿宋_GB2312" w:eastAsia="仿宋_GB2312" w:cs="宋体"/>
              </w:rPr>
            </w:pPr>
          </w:p>
        </w:tc>
        <w:tc>
          <w:tcPr>
            <w:tcW w:w="1408" w:type="dxa"/>
            <w:tcBorders>
              <w:top w:val="nil"/>
              <w:left w:val="nil"/>
              <w:bottom w:val="single" w:color="auto" w:sz="4" w:space="0"/>
              <w:right w:val="single" w:color="auto" w:sz="4" w:space="0"/>
            </w:tcBorders>
            <w:noWrap w:val="0"/>
            <w:vAlign w:val="bottom"/>
          </w:tcPr>
          <w:p>
            <w:pPr>
              <w:rPr>
                <w:rFonts w:ascii="仿宋_GB2312" w:eastAsia="仿宋_GB2312" w:cs="宋体"/>
              </w:rPr>
            </w:pPr>
          </w:p>
        </w:tc>
        <w:tc>
          <w:tcPr>
            <w:tcW w:w="1408"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930"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r>
      <w:tr>
        <w:tblPrEx>
          <w:tblCellMar>
            <w:top w:w="0" w:type="dxa"/>
            <w:left w:w="108" w:type="dxa"/>
            <w:bottom w:w="0" w:type="dxa"/>
            <w:right w:w="108" w:type="dxa"/>
          </w:tblCellMar>
        </w:tblPrEx>
        <w:trPr>
          <w:trHeight w:val="542" w:hRule="atLeast"/>
        </w:trPr>
        <w:tc>
          <w:tcPr>
            <w:tcW w:w="1119" w:type="dxa"/>
            <w:tcBorders>
              <w:top w:val="nil"/>
              <w:left w:val="single" w:color="auto" w:sz="4" w:space="0"/>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716"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1056"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939"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821"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587"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821"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1174" w:type="dxa"/>
            <w:tcBorders>
              <w:top w:val="nil"/>
              <w:left w:val="nil"/>
              <w:bottom w:val="single" w:color="auto" w:sz="4" w:space="0"/>
              <w:right w:val="single" w:color="auto" w:sz="4" w:space="0"/>
            </w:tcBorders>
            <w:noWrap w:val="0"/>
            <w:vAlign w:val="bottom"/>
          </w:tcPr>
          <w:p>
            <w:pPr>
              <w:rPr>
                <w:rFonts w:ascii="仿宋_GB2312" w:eastAsia="仿宋_GB2312" w:cs="宋体"/>
              </w:rPr>
            </w:pPr>
          </w:p>
        </w:tc>
        <w:tc>
          <w:tcPr>
            <w:tcW w:w="1408" w:type="dxa"/>
            <w:tcBorders>
              <w:top w:val="nil"/>
              <w:left w:val="nil"/>
              <w:bottom w:val="single" w:color="auto" w:sz="4" w:space="0"/>
              <w:right w:val="single" w:color="auto" w:sz="4" w:space="0"/>
            </w:tcBorders>
            <w:noWrap w:val="0"/>
            <w:vAlign w:val="bottom"/>
          </w:tcPr>
          <w:p>
            <w:pPr>
              <w:rPr>
                <w:rFonts w:ascii="仿宋_GB2312" w:eastAsia="仿宋_GB2312" w:cs="宋体"/>
              </w:rPr>
            </w:pPr>
          </w:p>
        </w:tc>
        <w:tc>
          <w:tcPr>
            <w:tcW w:w="1408"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930"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r>
      <w:tr>
        <w:tblPrEx>
          <w:tblCellMar>
            <w:top w:w="0" w:type="dxa"/>
            <w:left w:w="108" w:type="dxa"/>
            <w:bottom w:w="0" w:type="dxa"/>
            <w:right w:w="108" w:type="dxa"/>
          </w:tblCellMar>
        </w:tblPrEx>
        <w:trPr>
          <w:trHeight w:val="553" w:hRule="atLeast"/>
        </w:trPr>
        <w:tc>
          <w:tcPr>
            <w:tcW w:w="1119" w:type="dxa"/>
            <w:tcBorders>
              <w:top w:val="nil"/>
              <w:left w:val="single" w:color="auto" w:sz="4" w:space="0"/>
              <w:bottom w:val="nil"/>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716" w:type="dxa"/>
            <w:tcBorders>
              <w:top w:val="nil"/>
              <w:left w:val="nil"/>
              <w:bottom w:val="nil"/>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1056" w:type="dxa"/>
            <w:tcBorders>
              <w:top w:val="nil"/>
              <w:left w:val="nil"/>
              <w:bottom w:val="nil"/>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939" w:type="dxa"/>
            <w:tcBorders>
              <w:top w:val="nil"/>
              <w:left w:val="nil"/>
              <w:bottom w:val="nil"/>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821" w:type="dxa"/>
            <w:tcBorders>
              <w:top w:val="nil"/>
              <w:left w:val="nil"/>
              <w:bottom w:val="nil"/>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587" w:type="dxa"/>
            <w:tcBorders>
              <w:top w:val="nil"/>
              <w:left w:val="nil"/>
              <w:bottom w:val="nil"/>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821" w:type="dxa"/>
            <w:tcBorders>
              <w:top w:val="nil"/>
              <w:left w:val="nil"/>
              <w:bottom w:val="nil"/>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1174" w:type="dxa"/>
            <w:tcBorders>
              <w:top w:val="nil"/>
              <w:left w:val="nil"/>
              <w:bottom w:val="nil"/>
              <w:right w:val="single" w:color="auto" w:sz="4" w:space="0"/>
            </w:tcBorders>
            <w:noWrap w:val="0"/>
            <w:vAlign w:val="bottom"/>
          </w:tcPr>
          <w:p>
            <w:pPr>
              <w:rPr>
                <w:rFonts w:ascii="仿宋_GB2312" w:eastAsia="仿宋_GB2312" w:cs="宋体"/>
              </w:rPr>
            </w:pPr>
          </w:p>
        </w:tc>
        <w:tc>
          <w:tcPr>
            <w:tcW w:w="1408" w:type="dxa"/>
            <w:tcBorders>
              <w:top w:val="nil"/>
              <w:left w:val="nil"/>
              <w:bottom w:val="nil"/>
              <w:right w:val="single" w:color="auto" w:sz="4" w:space="0"/>
            </w:tcBorders>
            <w:noWrap w:val="0"/>
            <w:vAlign w:val="bottom"/>
          </w:tcPr>
          <w:p>
            <w:pPr>
              <w:rPr>
                <w:rFonts w:ascii="仿宋_GB2312" w:eastAsia="仿宋_GB2312" w:cs="宋体"/>
              </w:rPr>
            </w:pPr>
          </w:p>
        </w:tc>
        <w:tc>
          <w:tcPr>
            <w:tcW w:w="1408" w:type="dxa"/>
            <w:tcBorders>
              <w:top w:val="nil"/>
              <w:left w:val="nil"/>
              <w:bottom w:val="nil"/>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930" w:type="dxa"/>
            <w:tcBorders>
              <w:top w:val="nil"/>
              <w:left w:val="nil"/>
              <w:bottom w:val="nil"/>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r>
      <w:tr>
        <w:tblPrEx>
          <w:tblCellMar>
            <w:top w:w="0" w:type="dxa"/>
            <w:left w:w="108" w:type="dxa"/>
            <w:bottom w:w="0" w:type="dxa"/>
            <w:right w:w="108" w:type="dxa"/>
          </w:tblCellMar>
        </w:tblPrEx>
        <w:trPr>
          <w:trHeight w:val="553" w:hRule="atLeast"/>
        </w:trPr>
        <w:tc>
          <w:tcPr>
            <w:tcW w:w="1119" w:type="dxa"/>
            <w:tcBorders>
              <w:top w:val="nil"/>
              <w:left w:val="single" w:color="auto" w:sz="4" w:space="0"/>
              <w:bottom w:val="single" w:color="auto" w:sz="4" w:space="0"/>
              <w:right w:val="single" w:color="auto" w:sz="4" w:space="0"/>
            </w:tcBorders>
            <w:noWrap w:val="0"/>
            <w:vAlign w:val="bottom"/>
          </w:tcPr>
          <w:p>
            <w:pPr>
              <w:rPr>
                <w:rFonts w:hint="eastAsia" w:ascii="仿宋_GB2312" w:hAnsi="宋体" w:eastAsia="仿宋_GB2312" w:cs="宋体"/>
              </w:rPr>
            </w:pPr>
          </w:p>
        </w:tc>
        <w:tc>
          <w:tcPr>
            <w:tcW w:w="716" w:type="dxa"/>
            <w:tcBorders>
              <w:top w:val="nil"/>
              <w:left w:val="nil"/>
              <w:bottom w:val="single" w:color="auto" w:sz="4" w:space="0"/>
              <w:right w:val="single" w:color="auto" w:sz="4" w:space="0"/>
            </w:tcBorders>
            <w:noWrap w:val="0"/>
            <w:vAlign w:val="bottom"/>
          </w:tcPr>
          <w:p>
            <w:pPr>
              <w:rPr>
                <w:rFonts w:hint="eastAsia" w:ascii="仿宋_GB2312" w:hAnsi="宋体" w:eastAsia="仿宋_GB2312" w:cs="宋体"/>
              </w:rPr>
            </w:pPr>
          </w:p>
        </w:tc>
        <w:tc>
          <w:tcPr>
            <w:tcW w:w="1056" w:type="dxa"/>
            <w:tcBorders>
              <w:top w:val="nil"/>
              <w:left w:val="nil"/>
              <w:bottom w:val="single" w:color="auto" w:sz="4" w:space="0"/>
              <w:right w:val="single" w:color="auto" w:sz="4" w:space="0"/>
            </w:tcBorders>
            <w:noWrap w:val="0"/>
            <w:vAlign w:val="bottom"/>
          </w:tcPr>
          <w:p>
            <w:pPr>
              <w:rPr>
                <w:rFonts w:hint="eastAsia" w:ascii="仿宋_GB2312" w:hAnsi="宋体" w:eastAsia="仿宋_GB2312" w:cs="宋体"/>
              </w:rPr>
            </w:pPr>
          </w:p>
        </w:tc>
        <w:tc>
          <w:tcPr>
            <w:tcW w:w="939" w:type="dxa"/>
            <w:tcBorders>
              <w:top w:val="nil"/>
              <w:left w:val="nil"/>
              <w:bottom w:val="single" w:color="auto" w:sz="4" w:space="0"/>
              <w:right w:val="single" w:color="auto" w:sz="4" w:space="0"/>
            </w:tcBorders>
            <w:noWrap w:val="0"/>
            <w:vAlign w:val="bottom"/>
          </w:tcPr>
          <w:p>
            <w:pPr>
              <w:rPr>
                <w:rFonts w:hint="eastAsia" w:ascii="仿宋_GB2312" w:hAnsi="宋体" w:eastAsia="仿宋_GB2312" w:cs="宋体"/>
              </w:rPr>
            </w:pPr>
          </w:p>
        </w:tc>
        <w:tc>
          <w:tcPr>
            <w:tcW w:w="821" w:type="dxa"/>
            <w:tcBorders>
              <w:top w:val="nil"/>
              <w:left w:val="nil"/>
              <w:bottom w:val="single" w:color="auto" w:sz="4" w:space="0"/>
              <w:right w:val="single" w:color="auto" w:sz="4" w:space="0"/>
            </w:tcBorders>
            <w:noWrap w:val="0"/>
            <w:vAlign w:val="bottom"/>
          </w:tcPr>
          <w:p>
            <w:pPr>
              <w:rPr>
                <w:rFonts w:hint="eastAsia" w:ascii="仿宋_GB2312" w:hAnsi="宋体" w:eastAsia="仿宋_GB2312" w:cs="宋体"/>
              </w:rPr>
            </w:pPr>
          </w:p>
        </w:tc>
        <w:tc>
          <w:tcPr>
            <w:tcW w:w="587" w:type="dxa"/>
            <w:tcBorders>
              <w:top w:val="nil"/>
              <w:left w:val="nil"/>
              <w:bottom w:val="single" w:color="auto" w:sz="4" w:space="0"/>
              <w:right w:val="single" w:color="auto" w:sz="4" w:space="0"/>
            </w:tcBorders>
            <w:noWrap w:val="0"/>
            <w:vAlign w:val="bottom"/>
          </w:tcPr>
          <w:p>
            <w:pPr>
              <w:rPr>
                <w:rFonts w:hint="eastAsia" w:ascii="仿宋_GB2312" w:hAnsi="宋体" w:eastAsia="仿宋_GB2312" w:cs="宋体"/>
              </w:rPr>
            </w:pPr>
          </w:p>
        </w:tc>
        <w:tc>
          <w:tcPr>
            <w:tcW w:w="821" w:type="dxa"/>
            <w:tcBorders>
              <w:top w:val="nil"/>
              <w:left w:val="nil"/>
              <w:bottom w:val="single" w:color="auto" w:sz="4" w:space="0"/>
              <w:right w:val="single" w:color="auto" w:sz="4" w:space="0"/>
            </w:tcBorders>
            <w:noWrap w:val="0"/>
            <w:vAlign w:val="bottom"/>
          </w:tcPr>
          <w:p>
            <w:pPr>
              <w:rPr>
                <w:rFonts w:hint="eastAsia" w:ascii="仿宋_GB2312" w:hAnsi="宋体" w:eastAsia="仿宋_GB2312" w:cs="宋体"/>
              </w:rPr>
            </w:pPr>
          </w:p>
        </w:tc>
        <w:tc>
          <w:tcPr>
            <w:tcW w:w="1174" w:type="dxa"/>
            <w:tcBorders>
              <w:top w:val="nil"/>
              <w:left w:val="nil"/>
              <w:bottom w:val="single" w:color="auto" w:sz="4" w:space="0"/>
              <w:right w:val="single" w:color="auto" w:sz="4" w:space="0"/>
            </w:tcBorders>
            <w:noWrap w:val="0"/>
            <w:vAlign w:val="bottom"/>
          </w:tcPr>
          <w:p>
            <w:pPr>
              <w:rPr>
                <w:rFonts w:ascii="仿宋_GB2312" w:eastAsia="仿宋_GB2312" w:cs="宋体"/>
              </w:rPr>
            </w:pPr>
          </w:p>
        </w:tc>
        <w:tc>
          <w:tcPr>
            <w:tcW w:w="1408" w:type="dxa"/>
            <w:tcBorders>
              <w:top w:val="nil"/>
              <w:left w:val="nil"/>
              <w:bottom w:val="single" w:color="auto" w:sz="4" w:space="0"/>
              <w:right w:val="single" w:color="auto" w:sz="4" w:space="0"/>
            </w:tcBorders>
            <w:noWrap w:val="0"/>
            <w:vAlign w:val="bottom"/>
          </w:tcPr>
          <w:p>
            <w:pPr>
              <w:rPr>
                <w:rFonts w:ascii="仿宋_GB2312" w:eastAsia="仿宋_GB2312" w:cs="宋体"/>
              </w:rPr>
            </w:pPr>
          </w:p>
        </w:tc>
        <w:tc>
          <w:tcPr>
            <w:tcW w:w="1408" w:type="dxa"/>
            <w:tcBorders>
              <w:top w:val="nil"/>
              <w:left w:val="nil"/>
              <w:bottom w:val="single" w:color="auto" w:sz="4" w:space="0"/>
              <w:right w:val="single" w:color="auto" w:sz="4" w:space="0"/>
            </w:tcBorders>
            <w:noWrap w:val="0"/>
            <w:vAlign w:val="bottom"/>
          </w:tcPr>
          <w:p>
            <w:pPr>
              <w:rPr>
                <w:rFonts w:hint="eastAsia" w:ascii="仿宋_GB2312" w:hAnsi="宋体" w:eastAsia="仿宋_GB2312" w:cs="宋体"/>
              </w:rPr>
            </w:pPr>
          </w:p>
        </w:tc>
        <w:tc>
          <w:tcPr>
            <w:tcW w:w="930" w:type="dxa"/>
            <w:tcBorders>
              <w:top w:val="nil"/>
              <w:left w:val="nil"/>
              <w:bottom w:val="single" w:color="auto" w:sz="4" w:space="0"/>
              <w:right w:val="single" w:color="auto" w:sz="4" w:space="0"/>
            </w:tcBorders>
            <w:noWrap w:val="0"/>
            <w:vAlign w:val="bottom"/>
          </w:tcPr>
          <w:p>
            <w:pPr>
              <w:rPr>
                <w:rFonts w:hint="eastAsia" w:ascii="仿宋_GB2312" w:hAnsi="宋体" w:eastAsia="仿宋_GB2312" w:cs="宋体"/>
              </w:rPr>
            </w:pPr>
          </w:p>
        </w:tc>
      </w:tr>
    </w:tbl>
    <w:p>
      <w:pPr>
        <w:spacing w:line="500" w:lineRule="exact"/>
        <w:rPr>
          <w:rFonts w:ascii="仿宋_GB2312" w:hAnsi="宋体" w:eastAsia="仿宋_GB2312"/>
          <w:b/>
          <w:sz w:val="28"/>
          <w:szCs w:val="28"/>
          <w:lang w:eastAsia="zh-CN"/>
        </w:rPr>
      </w:pPr>
      <w:r>
        <w:rPr>
          <w:rFonts w:hint="eastAsia" w:ascii="黑体" w:hAnsi="黑体" w:eastAsia="黑体"/>
          <w:sz w:val="28"/>
          <w:szCs w:val="28"/>
          <w:lang w:eastAsia="zh-CN"/>
        </w:rPr>
        <w:t>附件</w:t>
      </w:r>
    </w:p>
    <w:p>
      <w:pPr>
        <w:spacing w:line="500" w:lineRule="exact"/>
        <w:rPr>
          <w:rFonts w:ascii="仿宋_GB2312" w:hAnsi="宋体" w:eastAsia="仿宋_GB2312"/>
          <w:b/>
          <w:sz w:val="28"/>
          <w:szCs w:val="28"/>
          <w:lang w:eastAsia="zh-CN"/>
        </w:rPr>
      </w:pPr>
    </w:p>
    <w:p/>
    <w:p>
      <w:pPr>
        <w:rPr>
          <w:rFonts w:hint="eastAsia" w:ascii="仿宋" w:hAnsi="仿宋" w:eastAsia="仿宋"/>
          <w:color w:val="000000"/>
          <w:kern w:val="2"/>
          <w:sz w:val="28"/>
          <w:szCs w:val="28"/>
          <w:lang w:eastAsia="zh-CN"/>
        </w:rPr>
      </w:pPr>
      <w:r>
        <w:rPr>
          <w:lang w:eastAsia="zh-CN"/>
        </w:rPr>
        <w:t xml:space="preserve">   </w:t>
      </w:r>
      <w:r>
        <w:rPr>
          <w:rFonts w:ascii="仿宋_GB2312" w:hAnsi="宋体" w:eastAsia="仿宋_GB2312" w:cs="宋体"/>
          <w:bCs/>
          <w:lang w:eastAsia="zh-CN"/>
        </w:rPr>
        <w:t xml:space="preserve"> </w:t>
      </w:r>
      <w:r>
        <w:rPr>
          <w:rFonts w:hint="eastAsia" w:ascii="仿宋_GB2312" w:hAnsi="宋体" w:eastAsia="仿宋_GB2312" w:cs="宋体"/>
          <w:bCs/>
          <w:lang w:eastAsia="zh-CN"/>
        </w:rPr>
        <w:t>注意：乙方的配送批量以采购平台交易系统中甲乙双方交易订单号所体现的信息为准。</w:t>
      </w:r>
    </w:p>
    <w:p>
      <w:pPr>
        <w:pStyle w:val="2"/>
        <w:rPr>
          <w:rFonts w:hint="eastAsia"/>
        </w:rPr>
      </w:pPr>
    </w:p>
    <w:p>
      <w:pPr>
        <w:pStyle w:val="2"/>
      </w:pPr>
    </w:p>
    <w:p>
      <w:pPr>
        <w:pStyle w:val="2"/>
      </w:pPr>
    </w:p>
    <w:p>
      <w:pPr>
        <w:pStyle w:val="2"/>
      </w:pPr>
    </w:p>
    <w:p>
      <w:pPr>
        <w:pStyle w:val="2"/>
      </w:pPr>
    </w:p>
    <w:p>
      <w:pPr>
        <w:pStyle w:val="2"/>
      </w:pPr>
    </w:p>
    <w:p>
      <w:pPr>
        <w:spacing w:line="360" w:lineRule="auto"/>
        <w:rPr>
          <w:rFonts w:ascii="仿宋" w:hAnsi="仿宋" w:eastAsia="仿宋" w:cs="仿宋"/>
          <w:color w:val="000000"/>
          <w:sz w:val="24"/>
        </w:rPr>
      </w:pPr>
    </w:p>
    <w:p>
      <w:pPr>
        <w:spacing w:line="360" w:lineRule="auto"/>
        <w:ind w:right="-126"/>
        <w:rPr>
          <w:rFonts w:ascii="仿宋" w:hAnsi="仿宋" w:eastAsia="仿宋" w:cs="仿宋"/>
          <w:color w:val="000000"/>
          <w:sz w:val="24"/>
        </w:rPr>
      </w:pPr>
    </w:p>
    <w:p>
      <w:pPr>
        <w:spacing w:line="360" w:lineRule="auto"/>
        <w:ind w:right="-126"/>
        <w:rPr>
          <w:rFonts w:ascii="仿宋" w:hAnsi="仿宋" w:eastAsia="仿宋" w:cs="仿宋"/>
          <w:color w:val="000000"/>
          <w:sz w:val="24"/>
        </w:rPr>
      </w:pPr>
    </w:p>
    <w:p>
      <w:pPr>
        <w:spacing w:line="360" w:lineRule="auto"/>
        <w:ind w:right="-126"/>
        <w:rPr>
          <w:rFonts w:ascii="仿宋" w:hAnsi="仿宋" w:eastAsia="仿宋" w:cs="仿宋"/>
          <w:color w:val="000000"/>
          <w:sz w:val="24"/>
        </w:rPr>
      </w:pPr>
    </w:p>
    <w:p>
      <w:pPr>
        <w:spacing w:line="360" w:lineRule="auto"/>
        <w:ind w:right="-126"/>
        <w:rPr>
          <w:rFonts w:ascii="仿宋" w:hAnsi="仿宋" w:eastAsia="仿宋" w:cs="仿宋"/>
          <w:color w:val="000000"/>
          <w:sz w:val="24"/>
        </w:rPr>
      </w:pPr>
    </w:p>
    <w:p>
      <w:pPr>
        <w:spacing w:line="360" w:lineRule="auto"/>
        <w:ind w:right="-126"/>
        <w:rPr>
          <w:rFonts w:ascii="仿宋" w:hAnsi="仿宋" w:eastAsia="仿宋" w:cs="仿宋"/>
          <w:color w:val="000000"/>
          <w:sz w:val="24"/>
        </w:rPr>
      </w:pPr>
    </w:p>
    <w:p>
      <w:pPr>
        <w:spacing w:line="360" w:lineRule="auto"/>
        <w:ind w:right="-126"/>
        <w:rPr>
          <w:rFonts w:ascii="仿宋" w:hAnsi="仿宋" w:eastAsia="仿宋" w:cs="仿宋"/>
          <w:color w:val="000000"/>
          <w:sz w:val="24"/>
        </w:rPr>
      </w:pPr>
    </w:p>
    <w:p>
      <w:pPr>
        <w:spacing w:line="360" w:lineRule="auto"/>
        <w:ind w:right="-126"/>
        <w:rPr>
          <w:rFonts w:ascii="仿宋" w:hAnsi="仿宋" w:eastAsia="仿宋" w:cs="仿宋"/>
          <w:color w:val="000000"/>
          <w:sz w:val="24"/>
        </w:rPr>
      </w:pPr>
    </w:p>
    <w:p>
      <w:pPr>
        <w:spacing w:line="360" w:lineRule="auto"/>
        <w:ind w:right="-126"/>
        <w:rPr>
          <w:rFonts w:ascii="仿宋" w:hAnsi="仿宋" w:eastAsia="仿宋" w:cs="仿宋"/>
          <w:color w:val="000000"/>
          <w:sz w:val="24"/>
        </w:rPr>
      </w:pPr>
    </w:p>
    <w:p>
      <w:pPr>
        <w:spacing w:line="360" w:lineRule="auto"/>
        <w:ind w:right="-126"/>
        <w:rPr>
          <w:rFonts w:ascii="仿宋" w:hAnsi="仿宋" w:eastAsia="仿宋" w:cs="仿宋"/>
          <w:color w:val="000000"/>
          <w:sz w:val="24"/>
        </w:rPr>
      </w:pPr>
    </w:p>
    <w:p>
      <w:pPr>
        <w:pStyle w:val="3"/>
        <w:ind w:firstLine="2209" w:firstLineChars="500"/>
        <w:jc w:val="both"/>
      </w:pPr>
      <w:bookmarkStart w:id="108" w:name="_Toc47364336"/>
      <w:bookmarkStart w:id="109" w:name="_Toc87205269"/>
      <w:r>
        <w:rPr>
          <w:rFonts w:hint="eastAsia"/>
        </w:rPr>
        <w:t>第五章 投标文件格式</w:t>
      </w:r>
      <w:bookmarkEnd w:id="108"/>
      <w:bookmarkEnd w:id="109"/>
    </w:p>
    <w:p>
      <w:pPr>
        <w:pStyle w:val="2"/>
      </w:pPr>
    </w:p>
    <w:p>
      <w:pPr>
        <w:pStyle w:val="2"/>
        <w:jc w:val="right"/>
      </w:pPr>
      <w:r>
        <w:rPr>
          <w:rFonts w:hint="eastAsia"/>
        </w:rPr>
        <w:t>正本/副本</w:t>
      </w:r>
    </w:p>
    <w:p>
      <w:pPr>
        <w:widowControl/>
        <w:ind w:left="57" w:leftChars="27" w:right="57"/>
        <w:jc w:val="center"/>
        <w:rPr>
          <w:rFonts w:ascii="仿宋" w:hAnsi="仿宋" w:eastAsia="仿宋" w:cs="仿宋"/>
          <w:b/>
          <w:bCs/>
          <w:sz w:val="52"/>
          <w:szCs w:val="52"/>
        </w:rPr>
      </w:pPr>
      <w:r>
        <w:rPr>
          <w:rFonts w:hint="eastAsia" w:ascii="仿宋" w:hAnsi="仿宋" w:eastAsia="仿宋" w:cs="仿宋"/>
          <w:b/>
          <w:bCs/>
          <w:sz w:val="52"/>
          <w:szCs w:val="52"/>
          <w:lang w:val="en-US" w:eastAsia="zh-CN"/>
        </w:rPr>
        <w:t>西藏康城肿瘤医院</w:t>
      </w:r>
      <w:r>
        <w:rPr>
          <w:rFonts w:hint="eastAsia" w:ascii="仿宋" w:hAnsi="仿宋" w:eastAsia="仿宋" w:cs="仿宋"/>
          <w:b/>
          <w:bCs/>
          <w:sz w:val="52"/>
          <w:szCs w:val="52"/>
          <w:lang w:eastAsia="zh-CN"/>
        </w:rPr>
        <w:t>药品</w:t>
      </w:r>
      <w:r>
        <w:rPr>
          <w:rFonts w:hint="eastAsia" w:ascii="仿宋" w:hAnsi="仿宋" w:eastAsia="仿宋" w:cs="仿宋"/>
          <w:b/>
          <w:bCs/>
          <w:sz w:val="52"/>
          <w:szCs w:val="52"/>
        </w:rPr>
        <w:t>采购项目</w:t>
      </w:r>
    </w:p>
    <w:p>
      <w:pPr>
        <w:widowControl/>
        <w:ind w:left="57" w:leftChars="27" w:right="57"/>
        <w:jc w:val="center"/>
        <w:rPr>
          <w:rFonts w:ascii="仿宋" w:hAnsi="仿宋" w:eastAsia="仿宋" w:cs="仿宋"/>
          <w:b/>
          <w:bCs/>
          <w:sz w:val="44"/>
          <w:szCs w:val="44"/>
        </w:rPr>
      </w:pPr>
    </w:p>
    <w:p>
      <w:pPr>
        <w:widowControl/>
        <w:ind w:left="57" w:leftChars="27" w:right="57" w:firstLine="209" w:firstLineChars="99"/>
        <w:jc w:val="left"/>
        <w:rPr>
          <w:rFonts w:ascii="仿宋" w:hAnsi="仿宋" w:eastAsia="仿宋" w:cs="仿宋"/>
          <w:b/>
          <w:kern w:val="0"/>
        </w:rPr>
      </w:pPr>
    </w:p>
    <w:p>
      <w:pPr>
        <w:widowControl/>
        <w:ind w:left="57" w:leftChars="27" w:right="57" w:firstLine="209" w:firstLineChars="99"/>
        <w:jc w:val="left"/>
        <w:rPr>
          <w:rFonts w:ascii="仿宋" w:hAnsi="仿宋" w:eastAsia="仿宋" w:cs="仿宋"/>
          <w:b/>
          <w:kern w:val="0"/>
        </w:rPr>
      </w:pPr>
    </w:p>
    <w:p>
      <w:pPr>
        <w:pStyle w:val="2"/>
        <w:rPr>
          <w:rFonts w:ascii="仿宋" w:hAnsi="仿宋" w:eastAsia="仿宋" w:cs="仿宋"/>
          <w:b/>
          <w:color w:val="auto"/>
        </w:rPr>
      </w:pPr>
    </w:p>
    <w:p>
      <w:pPr>
        <w:pStyle w:val="2"/>
        <w:rPr>
          <w:rFonts w:ascii="仿宋" w:hAnsi="仿宋" w:eastAsia="仿宋" w:cs="仿宋"/>
          <w:b/>
          <w:color w:val="auto"/>
        </w:rPr>
      </w:pPr>
    </w:p>
    <w:p>
      <w:pPr>
        <w:pStyle w:val="2"/>
        <w:rPr>
          <w:rFonts w:ascii="仿宋" w:hAnsi="仿宋" w:eastAsia="仿宋" w:cs="仿宋"/>
          <w:b/>
          <w:color w:val="auto"/>
        </w:rPr>
      </w:pPr>
    </w:p>
    <w:p>
      <w:pPr>
        <w:widowControl/>
        <w:ind w:left="57" w:leftChars="27" w:right="57" w:firstLine="209" w:firstLineChars="99"/>
        <w:jc w:val="left"/>
        <w:rPr>
          <w:rFonts w:ascii="仿宋" w:hAnsi="仿宋" w:eastAsia="仿宋" w:cs="仿宋"/>
          <w:b/>
          <w:kern w:val="0"/>
        </w:rPr>
      </w:pPr>
    </w:p>
    <w:p>
      <w:pPr>
        <w:widowControl/>
        <w:ind w:left="57" w:leftChars="27" w:right="57" w:firstLine="209" w:firstLineChars="99"/>
        <w:jc w:val="left"/>
        <w:rPr>
          <w:rFonts w:ascii="仿宋" w:hAnsi="仿宋" w:eastAsia="仿宋" w:cs="仿宋"/>
          <w:b/>
          <w:kern w:val="0"/>
        </w:rPr>
      </w:pPr>
    </w:p>
    <w:p>
      <w:pPr>
        <w:widowControl/>
        <w:ind w:left="57" w:leftChars="27" w:right="57" w:firstLine="209" w:firstLineChars="99"/>
        <w:jc w:val="left"/>
        <w:rPr>
          <w:rFonts w:ascii="仿宋" w:hAnsi="仿宋" w:eastAsia="仿宋" w:cs="仿宋"/>
          <w:b/>
          <w:kern w:val="0"/>
        </w:rPr>
      </w:pPr>
    </w:p>
    <w:p>
      <w:pPr>
        <w:widowControl/>
        <w:ind w:right="57"/>
        <w:jc w:val="left"/>
        <w:rPr>
          <w:rFonts w:ascii="仿宋" w:hAnsi="仿宋" w:eastAsia="仿宋" w:cs="仿宋"/>
          <w:b/>
          <w:kern w:val="0"/>
        </w:rPr>
      </w:pPr>
    </w:p>
    <w:p>
      <w:pPr>
        <w:widowControl/>
        <w:tabs>
          <w:tab w:val="left" w:pos="7185"/>
        </w:tabs>
        <w:ind w:right="57"/>
        <w:jc w:val="left"/>
        <w:rPr>
          <w:rFonts w:ascii="仿宋" w:hAnsi="仿宋" w:eastAsia="仿宋" w:cs="仿宋"/>
          <w:b/>
          <w:kern w:val="0"/>
        </w:rPr>
      </w:pPr>
    </w:p>
    <w:p>
      <w:pPr>
        <w:widowControl/>
        <w:tabs>
          <w:tab w:val="left" w:pos="7185"/>
        </w:tabs>
        <w:ind w:left="57" w:leftChars="27" w:right="57" w:firstLine="209" w:firstLineChars="99"/>
        <w:jc w:val="left"/>
        <w:rPr>
          <w:rFonts w:ascii="仿宋" w:hAnsi="仿宋" w:eastAsia="仿宋" w:cs="仿宋"/>
          <w:b/>
          <w:kern w:val="0"/>
        </w:rPr>
      </w:pPr>
      <w:r>
        <w:rPr>
          <w:rFonts w:hint="eastAsia" w:ascii="仿宋" w:hAnsi="仿宋" w:eastAsia="仿宋" w:cs="仿宋"/>
          <w:b/>
          <w:kern w:val="0"/>
        </w:rPr>
        <w:tab/>
      </w:r>
    </w:p>
    <w:p>
      <w:pPr>
        <w:widowControl/>
        <w:ind w:right="57"/>
        <w:jc w:val="center"/>
        <w:rPr>
          <w:rFonts w:ascii="仿宋" w:hAnsi="仿宋" w:eastAsia="仿宋" w:cs="仿宋"/>
          <w:b/>
          <w:kern w:val="0"/>
          <w:sz w:val="72"/>
          <w:szCs w:val="72"/>
        </w:rPr>
      </w:pPr>
      <w:r>
        <w:rPr>
          <w:rFonts w:hint="eastAsia" w:ascii="仿宋" w:hAnsi="仿宋" w:eastAsia="仿宋" w:cs="仿宋"/>
          <w:b/>
          <w:kern w:val="0"/>
          <w:sz w:val="72"/>
          <w:szCs w:val="72"/>
        </w:rPr>
        <w:t>投 标 文 件</w:t>
      </w:r>
    </w:p>
    <w:p>
      <w:pPr>
        <w:widowControl/>
        <w:ind w:right="57"/>
        <w:jc w:val="center"/>
        <w:rPr>
          <w:rFonts w:ascii="仿宋" w:hAnsi="仿宋" w:eastAsia="仿宋" w:cs="仿宋"/>
          <w:b/>
          <w:kern w:val="0"/>
          <w:sz w:val="32"/>
          <w:szCs w:val="32"/>
        </w:rPr>
      </w:pPr>
      <w:r>
        <w:rPr>
          <w:rFonts w:hint="eastAsia" w:ascii="仿宋" w:hAnsi="仿宋" w:eastAsia="仿宋" w:cs="仿宋"/>
          <w:b/>
          <w:kern w:val="0"/>
          <w:sz w:val="32"/>
          <w:szCs w:val="32"/>
        </w:rPr>
        <w:t>（项目编号：</w:t>
      </w:r>
      <w:r>
        <w:rPr>
          <w:rFonts w:hint="eastAsia" w:ascii="仿宋" w:hAnsi="仿宋" w:eastAsia="仿宋" w:cs="仿宋"/>
          <w:b/>
          <w:kern w:val="0"/>
          <w:sz w:val="32"/>
          <w:szCs w:val="32"/>
          <w:lang w:val="en-US" w:eastAsia="zh-CN"/>
        </w:rPr>
        <w:t>XXKCZLYY20210001</w:t>
      </w:r>
      <w:r>
        <w:rPr>
          <w:rFonts w:hint="eastAsia" w:ascii="仿宋" w:hAnsi="仿宋" w:eastAsia="仿宋" w:cs="仿宋"/>
          <w:b/>
          <w:kern w:val="0"/>
          <w:sz w:val="32"/>
          <w:szCs w:val="32"/>
        </w:rPr>
        <w:t>）</w:t>
      </w:r>
    </w:p>
    <w:p>
      <w:pPr>
        <w:widowControl/>
        <w:ind w:right="57"/>
        <w:jc w:val="left"/>
        <w:rPr>
          <w:rFonts w:ascii="仿宋" w:hAnsi="仿宋" w:eastAsia="仿宋" w:cs="仿宋"/>
          <w:bCs/>
          <w:kern w:val="0"/>
          <w:sz w:val="28"/>
        </w:rPr>
      </w:pPr>
    </w:p>
    <w:p>
      <w:pPr>
        <w:widowControl/>
        <w:ind w:left="57" w:right="57" w:firstLine="57"/>
        <w:jc w:val="left"/>
        <w:rPr>
          <w:rFonts w:ascii="仿宋" w:hAnsi="仿宋" w:eastAsia="仿宋" w:cs="仿宋"/>
          <w:bCs/>
          <w:kern w:val="0"/>
          <w:sz w:val="28"/>
        </w:rPr>
      </w:pPr>
    </w:p>
    <w:p>
      <w:pPr>
        <w:widowControl/>
        <w:ind w:left="57" w:right="57" w:firstLine="57"/>
        <w:jc w:val="left"/>
        <w:rPr>
          <w:rFonts w:ascii="仿宋" w:hAnsi="仿宋" w:eastAsia="仿宋" w:cs="仿宋"/>
          <w:bCs/>
          <w:kern w:val="0"/>
          <w:sz w:val="28"/>
        </w:rPr>
      </w:pPr>
    </w:p>
    <w:p>
      <w:pPr>
        <w:widowControl/>
        <w:ind w:right="57"/>
        <w:jc w:val="left"/>
        <w:rPr>
          <w:rFonts w:ascii="仿宋" w:hAnsi="仿宋" w:eastAsia="仿宋" w:cs="仿宋"/>
          <w:b/>
          <w:kern w:val="0"/>
          <w:sz w:val="32"/>
        </w:rPr>
      </w:pPr>
    </w:p>
    <w:p>
      <w:pPr>
        <w:widowControl/>
        <w:ind w:left="2168" w:right="57" w:hanging="2168" w:hangingChars="675"/>
        <w:jc w:val="left"/>
        <w:rPr>
          <w:rFonts w:ascii="仿宋" w:hAnsi="仿宋" w:eastAsia="仿宋" w:cs="仿宋"/>
          <w:b/>
          <w:kern w:val="0"/>
          <w:sz w:val="32"/>
        </w:rPr>
      </w:pPr>
    </w:p>
    <w:p>
      <w:pPr>
        <w:pStyle w:val="2"/>
      </w:pPr>
    </w:p>
    <w:p>
      <w:pPr>
        <w:widowControl/>
        <w:ind w:left="2168" w:right="57" w:hanging="2168" w:hangingChars="675"/>
        <w:jc w:val="left"/>
        <w:rPr>
          <w:rFonts w:ascii="仿宋" w:hAnsi="仿宋" w:eastAsia="仿宋" w:cs="仿宋"/>
          <w:b/>
          <w:kern w:val="0"/>
          <w:sz w:val="32"/>
        </w:rPr>
      </w:pPr>
    </w:p>
    <w:p>
      <w:pPr>
        <w:widowControl/>
        <w:ind w:left="2168" w:right="57" w:hanging="2168" w:hangingChars="675"/>
        <w:jc w:val="left"/>
        <w:rPr>
          <w:rFonts w:ascii="仿宋" w:hAnsi="仿宋" w:eastAsia="仿宋" w:cs="仿宋"/>
          <w:b/>
          <w:kern w:val="0"/>
          <w:sz w:val="32"/>
        </w:rPr>
      </w:pPr>
    </w:p>
    <w:p>
      <w:pPr>
        <w:widowControl/>
        <w:ind w:left="2168" w:right="57" w:hanging="2168" w:hangingChars="675"/>
        <w:jc w:val="left"/>
        <w:rPr>
          <w:rFonts w:ascii="仿宋" w:hAnsi="仿宋" w:eastAsia="仿宋" w:cs="仿宋"/>
          <w:b/>
          <w:kern w:val="0"/>
          <w:sz w:val="32"/>
        </w:rPr>
      </w:pPr>
    </w:p>
    <w:p>
      <w:pPr>
        <w:widowControl/>
        <w:ind w:left="2168" w:right="57" w:hanging="2168" w:hangingChars="675"/>
        <w:jc w:val="center"/>
        <w:rPr>
          <w:rFonts w:ascii="仿宋" w:hAnsi="仿宋" w:eastAsia="仿宋" w:cs="仿宋"/>
          <w:b/>
          <w:kern w:val="0"/>
          <w:sz w:val="32"/>
        </w:rPr>
      </w:pPr>
    </w:p>
    <w:p>
      <w:pPr>
        <w:pStyle w:val="27"/>
        <w:snapToGrid w:val="0"/>
        <w:spacing w:line="360" w:lineRule="auto"/>
        <w:ind w:left="560" w:hanging="560" w:hangingChars="200"/>
        <w:jc w:val="both"/>
        <w:rPr>
          <w:b/>
          <w:bCs/>
          <w:kern w:val="2"/>
          <w:sz w:val="32"/>
          <w:szCs w:val="28"/>
        </w:rPr>
      </w:pPr>
      <w:r>
        <w:rPr>
          <w:rFonts w:hint="eastAsia"/>
          <w:kern w:val="2"/>
          <w:sz w:val="28"/>
        </w:rPr>
        <w:t>投标人：</w:t>
      </w:r>
      <w:r>
        <w:rPr>
          <w:rFonts w:hint="eastAsia"/>
          <w:kern w:val="2"/>
          <w:sz w:val="28"/>
          <w:u w:val="single"/>
        </w:rPr>
        <w:t xml:space="preserve">                 </w:t>
      </w:r>
      <w:r>
        <w:rPr>
          <w:rFonts w:hint="eastAsia"/>
          <w:kern w:val="2"/>
          <w:sz w:val="28"/>
        </w:rPr>
        <w:t xml:space="preserve">（填写投标人全称并盖公章）      </w:t>
      </w:r>
    </w:p>
    <w:p>
      <w:pPr>
        <w:pStyle w:val="27"/>
        <w:snapToGrid w:val="0"/>
        <w:spacing w:line="360" w:lineRule="auto"/>
        <w:ind w:left="560" w:hanging="560" w:hangingChars="200"/>
        <w:jc w:val="both"/>
        <w:rPr>
          <w:kern w:val="2"/>
          <w:sz w:val="28"/>
        </w:rPr>
      </w:pPr>
      <w:r>
        <w:rPr>
          <w:rFonts w:hint="eastAsia"/>
          <w:kern w:val="2"/>
          <w:sz w:val="28"/>
        </w:rPr>
        <w:t>投标人法定代表人或委托代理人：</w:t>
      </w:r>
      <w:r>
        <w:rPr>
          <w:rFonts w:hint="eastAsia"/>
          <w:kern w:val="2"/>
          <w:sz w:val="28"/>
          <w:u w:val="single"/>
        </w:rPr>
        <w:t xml:space="preserve">               </w:t>
      </w:r>
      <w:r>
        <w:rPr>
          <w:rFonts w:hint="eastAsia"/>
          <w:kern w:val="2"/>
          <w:sz w:val="28"/>
        </w:rPr>
        <w:t>（签名）</w:t>
      </w:r>
    </w:p>
    <w:p>
      <w:pPr>
        <w:pStyle w:val="27"/>
        <w:snapToGrid w:val="0"/>
        <w:spacing w:line="360" w:lineRule="auto"/>
        <w:ind w:left="560" w:hanging="560" w:hangingChars="200"/>
        <w:jc w:val="both"/>
        <w:rPr>
          <w:kern w:val="2"/>
          <w:sz w:val="28"/>
        </w:rPr>
      </w:pPr>
      <w:r>
        <w:rPr>
          <w:rFonts w:hint="eastAsia"/>
          <w:kern w:val="2"/>
          <w:sz w:val="28"/>
        </w:rPr>
        <w:t>日期：</w:t>
      </w:r>
      <w:r>
        <w:rPr>
          <w:rFonts w:hint="eastAsia"/>
          <w:kern w:val="2"/>
          <w:sz w:val="28"/>
          <w:u w:val="single"/>
        </w:rPr>
        <w:t xml:space="preserve">    </w:t>
      </w:r>
      <w:r>
        <w:rPr>
          <w:rFonts w:hint="eastAsia"/>
          <w:kern w:val="2"/>
          <w:sz w:val="28"/>
        </w:rPr>
        <w:t>年</w:t>
      </w:r>
      <w:r>
        <w:rPr>
          <w:rFonts w:hint="eastAsia"/>
          <w:kern w:val="2"/>
          <w:sz w:val="28"/>
          <w:u w:val="single"/>
        </w:rPr>
        <w:t xml:space="preserve">    </w:t>
      </w:r>
      <w:r>
        <w:rPr>
          <w:rFonts w:hint="eastAsia"/>
          <w:kern w:val="2"/>
          <w:sz w:val="28"/>
        </w:rPr>
        <w:t>月</w:t>
      </w:r>
      <w:r>
        <w:rPr>
          <w:rFonts w:hint="eastAsia"/>
          <w:kern w:val="2"/>
          <w:sz w:val="28"/>
          <w:u w:val="single"/>
        </w:rPr>
        <w:t xml:space="preserve">    </w:t>
      </w:r>
      <w:r>
        <w:rPr>
          <w:rFonts w:hint="eastAsia"/>
          <w:kern w:val="2"/>
          <w:sz w:val="28"/>
        </w:rPr>
        <w:t>日</w:t>
      </w:r>
    </w:p>
    <w:p>
      <w:pPr>
        <w:pageBreakBefore/>
        <w:spacing w:line="360" w:lineRule="auto"/>
        <w:ind w:left="284" w:hanging="284"/>
        <w:jc w:val="center"/>
        <w:rPr>
          <w:rFonts w:ascii="仿宋" w:hAnsi="仿宋" w:eastAsia="仿宋" w:cs="仿宋"/>
          <w:b/>
          <w:bCs/>
          <w:sz w:val="36"/>
        </w:rPr>
        <w:sectPr>
          <w:headerReference r:id="rId14" w:type="first"/>
          <w:headerReference r:id="rId12" w:type="default"/>
          <w:footerReference r:id="rId15" w:type="default"/>
          <w:headerReference r:id="rId13" w:type="even"/>
          <w:footerReference r:id="rId16" w:type="even"/>
          <w:pgSz w:w="11906" w:h="16838"/>
          <w:pgMar w:top="1418" w:right="1418" w:bottom="1418" w:left="1418" w:header="737" w:footer="737" w:gutter="0"/>
          <w:pgNumType w:fmt="numberInDash" w:start="1" w:chapStyle="1"/>
          <w:cols w:space="720" w:num="1"/>
          <w:titlePg/>
        </w:sectPr>
      </w:pPr>
    </w:p>
    <w:p>
      <w:pPr>
        <w:spacing w:line="360" w:lineRule="auto"/>
        <w:jc w:val="center"/>
        <w:rPr>
          <w:rFonts w:ascii="仿宋" w:hAnsi="仿宋" w:eastAsia="仿宋" w:cs="仿宋"/>
          <w:b/>
          <w:bCs/>
          <w:sz w:val="52"/>
          <w:szCs w:val="52"/>
        </w:rPr>
      </w:pPr>
      <w:bookmarkStart w:id="110" w:name="_Toc48995844"/>
      <w:bookmarkStart w:id="111" w:name="_Toc47261878"/>
      <w:bookmarkStart w:id="112" w:name="_Toc47418931"/>
      <w:bookmarkStart w:id="113" w:name="_Toc47418724"/>
      <w:bookmarkStart w:id="114" w:name="_Toc88466041"/>
      <w:bookmarkStart w:id="115" w:name="_Toc47262062"/>
      <w:bookmarkStart w:id="116" w:name="_Toc48791228"/>
      <w:bookmarkStart w:id="117" w:name="_Toc47418248"/>
      <w:bookmarkStart w:id="118" w:name="_Toc49019229"/>
      <w:bookmarkStart w:id="119" w:name="_Toc47261683"/>
      <w:r>
        <w:rPr>
          <w:rFonts w:hint="eastAsia" w:ascii="仿宋" w:hAnsi="仿宋" w:eastAsia="仿宋" w:cs="仿宋"/>
          <w:b/>
          <w:bCs/>
          <w:sz w:val="52"/>
          <w:szCs w:val="52"/>
        </w:rPr>
        <w:t>目录</w:t>
      </w:r>
    </w:p>
    <w:p>
      <w:pPr>
        <w:pStyle w:val="2"/>
        <w:jc w:val="center"/>
      </w:pPr>
      <w:r>
        <w:rPr>
          <w:rFonts w:hint="eastAsia"/>
        </w:rPr>
        <w:t>（格式自拟）</w:t>
      </w:r>
    </w:p>
    <w:p>
      <w:pPr>
        <w:spacing w:line="360" w:lineRule="auto"/>
        <w:rPr>
          <w:rFonts w:ascii="仿宋" w:hAnsi="仿宋" w:eastAsia="仿宋" w:cs="仿宋"/>
          <w:b/>
          <w:bCs/>
          <w:szCs w:val="21"/>
        </w:rPr>
      </w:pPr>
    </w:p>
    <w:p>
      <w:pPr>
        <w:spacing w:line="360" w:lineRule="auto"/>
        <w:rPr>
          <w:rFonts w:ascii="仿宋" w:hAnsi="仿宋" w:eastAsia="仿宋" w:cs="仿宋"/>
          <w:b/>
          <w:bCs/>
          <w:szCs w:val="21"/>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rPr>
          <w:rFonts w:ascii="仿宋" w:hAnsi="仿宋" w:eastAsia="仿宋" w:cs="仿宋"/>
          <w:b/>
          <w:bCs/>
          <w:szCs w:val="21"/>
        </w:rPr>
      </w:pPr>
    </w:p>
    <w:p>
      <w:pPr>
        <w:spacing w:line="360" w:lineRule="auto"/>
        <w:rPr>
          <w:rFonts w:ascii="仿宋" w:hAnsi="仿宋" w:eastAsia="仿宋" w:cs="仿宋"/>
          <w:b/>
          <w:bCs/>
          <w:szCs w:val="21"/>
        </w:rPr>
      </w:pPr>
      <w:r>
        <w:rPr>
          <w:rFonts w:hint="eastAsia" w:ascii="仿宋" w:hAnsi="仿宋" w:eastAsia="仿宋" w:cs="仿宋"/>
          <w:b/>
          <w:bCs/>
          <w:szCs w:val="21"/>
        </w:rPr>
        <w:t>1、投标书格式</w:t>
      </w:r>
      <w:bookmarkEnd w:id="110"/>
      <w:bookmarkEnd w:id="111"/>
      <w:bookmarkEnd w:id="112"/>
      <w:bookmarkEnd w:id="113"/>
      <w:bookmarkEnd w:id="114"/>
      <w:bookmarkEnd w:id="115"/>
      <w:bookmarkEnd w:id="116"/>
      <w:bookmarkEnd w:id="117"/>
      <w:bookmarkEnd w:id="118"/>
      <w:bookmarkEnd w:id="119"/>
    </w:p>
    <w:p>
      <w:pPr>
        <w:widowControl/>
        <w:spacing w:line="560" w:lineRule="exact"/>
        <w:ind w:right="57"/>
        <w:jc w:val="center"/>
        <w:rPr>
          <w:rFonts w:ascii="仿宋" w:hAnsi="仿宋" w:eastAsia="仿宋" w:cs="仿宋"/>
          <w:b/>
          <w:kern w:val="0"/>
          <w:szCs w:val="21"/>
        </w:rPr>
      </w:pPr>
      <w:r>
        <w:rPr>
          <w:rFonts w:hint="eastAsia" w:ascii="仿宋" w:hAnsi="仿宋" w:eastAsia="仿宋" w:cs="仿宋"/>
          <w:b/>
          <w:kern w:val="0"/>
          <w:szCs w:val="21"/>
        </w:rPr>
        <w:t>投  标  书</w:t>
      </w:r>
    </w:p>
    <w:p>
      <w:pPr>
        <w:widowControl/>
        <w:spacing w:line="520" w:lineRule="exact"/>
        <w:ind w:right="57"/>
        <w:jc w:val="left"/>
        <w:rPr>
          <w:rFonts w:ascii="仿宋" w:hAnsi="仿宋" w:eastAsia="仿宋" w:cs="仿宋"/>
          <w:bCs/>
          <w:kern w:val="0"/>
          <w:szCs w:val="21"/>
          <w:u w:val="single"/>
        </w:rPr>
      </w:pPr>
      <w:r>
        <w:rPr>
          <w:rFonts w:hint="eastAsia" w:ascii="仿宋" w:hAnsi="仿宋" w:eastAsia="仿宋" w:cs="仿宋"/>
          <w:bCs/>
          <w:kern w:val="0"/>
          <w:szCs w:val="21"/>
        </w:rPr>
        <w:t xml:space="preserve"> 致：</w:t>
      </w:r>
      <w:r>
        <w:rPr>
          <w:rFonts w:hint="eastAsia" w:ascii="仿宋" w:hAnsi="仿宋" w:eastAsia="仿宋" w:cs="仿宋"/>
          <w:bCs/>
          <w:kern w:val="0"/>
          <w:szCs w:val="21"/>
          <w:u w:val="single"/>
        </w:rPr>
        <w:t xml:space="preserve">                 （采购人名称）：</w:t>
      </w:r>
    </w:p>
    <w:p>
      <w:pPr>
        <w:widowControl/>
        <w:tabs>
          <w:tab w:val="left" w:pos="1050"/>
        </w:tabs>
        <w:spacing w:line="520" w:lineRule="exact"/>
        <w:ind w:left="57" w:right="57" w:firstLine="57"/>
        <w:jc w:val="left"/>
        <w:rPr>
          <w:rFonts w:ascii="仿宋" w:hAnsi="仿宋" w:eastAsia="仿宋" w:cs="仿宋"/>
          <w:bCs/>
          <w:kern w:val="0"/>
          <w:szCs w:val="21"/>
        </w:rPr>
      </w:pPr>
      <w:r>
        <w:rPr>
          <w:rFonts w:hint="eastAsia" w:ascii="仿宋" w:hAnsi="仿宋" w:eastAsia="仿宋" w:cs="仿宋"/>
          <w:bCs/>
          <w:kern w:val="0"/>
          <w:szCs w:val="21"/>
        </w:rPr>
        <w:t xml:space="preserve">    根据贵方为</w:t>
      </w:r>
      <w:r>
        <w:rPr>
          <w:rFonts w:hint="eastAsia" w:ascii="仿宋" w:hAnsi="仿宋" w:eastAsia="仿宋" w:cs="仿宋"/>
          <w:bCs/>
          <w:kern w:val="0"/>
          <w:szCs w:val="21"/>
          <w:u w:val="single"/>
        </w:rPr>
        <w:t xml:space="preserve"> （项目名称）</w:t>
      </w:r>
      <w:r>
        <w:rPr>
          <w:rFonts w:hint="eastAsia" w:ascii="仿宋" w:hAnsi="仿宋" w:eastAsia="仿宋" w:cs="仿宋"/>
          <w:bCs/>
          <w:kern w:val="0"/>
          <w:szCs w:val="21"/>
        </w:rPr>
        <w:t>项目采购货物及服务的投标邀请</w:t>
      </w:r>
      <w:r>
        <w:rPr>
          <w:rFonts w:hint="eastAsia" w:ascii="仿宋" w:hAnsi="仿宋" w:eastAsia="仿宋" w:cs="仿宋"/>
          <w:bCs/>
          <w:kern w:val="0"/>
          <w:szCs w:val="21"/>
          <w:u w:val="single"/>
        </w:rPr>
        <w:t>（项目编号）</w:t>
      </w:r>
      <w:r>
        <w:rPr>
          <w:rFonts w:hint="eastAsia" w:ascii="仿宋" w:hAnsi="仿宋" w:eastAsia="仿宋" w:cs="仿宋"/>
          <w:bCs/>
          <w:kern w:val="0"/>
          <w:szCs w:val="21"/>
        </w:rPr>
        <w:t>，</w:t>
      </w:r>
    </w:p>
    <w:p>
      <w:pPr>
        <w:widowControl/>
        <w:tabs>
          <w:tab w:val="left" w:pos="1050"/>
        </w:tabs>
        <w:spacing w:line="520" w:lineRule="exact"/>
        <w:ind w:left="57" w:right="57" w:firstLine="57"/>
        <w:jc w:val="left"/>
        <w:rPr>
          <w:rFonts w:ascii="仿宋" w:hAnsi="仿宋" w:eastAsia="仿宋" w:cs="仿宋"/>
          <w:bCs/>
          <w:kern w:val="0"/>
          <w:szCs w:val="21"/>
        </w:rPr>
      </w:pPr>
      <w:r>
        <w:rPr>
          <w:rFonts w:hint="eastAsia" w:ascii="仿宋" w:hAnsi="仿宋" w:eastAsia="仿宋" w:cs="仿宋"/>
          <w:bCs/>
          <w:kern w:val="0"/>
          <w:szCs w:val="21"/>
        </w:rPr>
        <w:t>签字代表</w:t>
      </w:r>
      <w:r>
        <w:rPr>
          <w:rFonts w:hint="eastAsia" w:ascii="仿宋" w:hAnsi="仿宋" w:eastAsia="仿宋" w:cs="仿宋"/>
          <w:bCs/>
          <w:kern w:val="0"/>
          <w:szCs w:val="21"/>
          <w:u w:val="single"/>
        </w:rPr>
        <w:t>（姓名、职务）</w:t>
      </w:r>
      <w:r>
        <w:rPr>
          <w:rFonts w:hint="eastAsia" w:ascii="仿宋" w:hAnsi="仿宋" w:eastAsia="仿宋" w:cs="仿宋"/>
          <w:bCs/>
          <w:kern w:val="0"/>
          <w:szCs w:val="21"/>
        </w:rPr>
        <w:t>经正式授权并代表投标人</w:t>
      </w:r>
      <w:r>
        <w:rPr>
          <w:rFonts w:hint="eastAsia" w:ascii="仿宋" w:hAnsi="仿宋" w:eastAsia="仿宋" w:cs="仿宋"/>
          <w:bCs/>
          <w:kern w:val="0"/>
          <w:szCs w:val="21"/>
          <w:u w:val="single"/>
        </w:rPr>
        <w:t>（投标人名称、地址）</w:t>
      </w:r>
      <w:r>
        <w:rPr>
          <w:rFonts w:hint="eastAsia" w:ascii="仿宋" w:hAnsi="仿宋" w:eastAsia="仿宋" w:cs="仿宋"/>
          <w:bCs/>
          <w:kern w:val="0"/>
          <w:szCs w:val="21"/>
        </w:rPr>
        <w:t>提交下述文件正本一份及副本</w:t>
      </w:r>
      <w:r>
        <w:rPr>
          <w:rFonts w:hint="eastAsia" w:ascii="仿宋" w:hAnsi="仿宋" w:eastAsia="仿宋" w:cs="仿宋"/>
          <w:bCs/>
          <w:kern w:val="0"/>
          <w:szCs w:val="21"/>
          <w:u w:val="single"/>
        </w:rPr>
        <w:t xml:space="preserve">   </w:t>
      </w:r>
      <w:r>
        <w:rPr>
          <w:rFonts w:hint="eastAsia" w:ascii="仿宋" w:hAnsi="仿宋" w:eastAsia="仿宋" w:cs="仿宋"/>
          <w:bCs/>
          <w:kern w:val="0"/>
          <w:szCs w:val="21"/>
        </w:rPr>
        <w:t>份。</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1</w:t>
      </w:r>
      <w:r>
        <w:rPr>
          <w:rFonts w:hint="eastAsia" w:ascii="仿宋" w:hAnsi="仿宋" w:eastAsia="仿宋" w:cs="仿宋"/>
          <w:bCs/>
          <w:kern w:val="0"/>
          <w:szCs w:val="21"/>
        </w:rPr>
        <w:t>.投标分项报价表</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2</w:t>
      </w:r>
      <w:r>
        <w:rPr>
          <w:rFonts w:hint="eastAsia" w:ascii="仿宋" w:hAnsi="仿宋" w:eastAsia="仿宋" w:cs="仿宋"/>
          <w:bCs/>
          <w:kern w:val="0"/>
          <w:szCs w:val="21"/>
        </w:rPr>
        <w:t>.技术规格偏离表</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3</w:t>
      </w:r>
      <w:r>
        <w:rPr>
          <w:rFonts w:hint="eastAsia" w:ascii="仿宋" w:hAnsi="仿宋" w:eastAsia="仿宋" w:cs="仿宋"/>
          <w:bCs/>
          <w:kern w:val="0"/>
          <w:szCs w:val="21"/>
        </w:rPr>
        <w:t>.商务条款偏离表</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4</w:t>
      </w:r>
      <w:r>
        <w:rPr>
          <w:rFonts w:hint="eastAsia" w:ascii="仿宋" w:hAnsi="仿宋" w:eastAsia="仿宋" w:cs="仿宋"/>
          <w:bCs/>
          <w:kern w:val="0"/>
          <w:szCs w:val="21"/>
        </w:rPr>
        <w:t>.供应商基本情况表</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5</w:t>
      </w:r>
      <w:r>
        <w:rPr>
          <w:rFonts w:hint="eastAsia" w:ascii="仿宋" w:hAnsi="仿宋" w:eastAsia="仿宋" w:cs="仿宋"/>
          <w:bCs/>
          <w:kern w:val="0"/>
          <w:szCs w:val="21"/>
        </w:rPr>
        <w:t>.资格证明文件</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6</w:t>
      </w:r>
      <w:r>
        <w:rPr>
          <w:rFonts w:hint="eastAsia" w:ascii="仿宋" w:hAnsi="仿宋" w:eastAsia="仿宋" w:cs="仿宋"/>
          <w:bCs/>
          <w:kern w:val="0"/>
          <w:szCs w:val="21"/>
        </w:rPr>
        <w:t>. 类似业绩</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7</w:t>
      </w:r>
      <w:r>
        <w:rPr>
          <w:rFonts w:hint="eastAsia" w:ascii="仿宋" w:hAnsi="仿宋" w:eastAsia="仿宋" w:cs="仿宋"/>
          <w:bCs/>
          <w:kern w:val="0"/>
          <w:szCs w:val="21"/>
        </w:rPr>
        <w:t>技术部分</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8</w:t>
      </w:r>
      <w:r>
        <w:rPr>
          <w:rFonts w:hint="eastAsia" w:ascii="仿宋" w:hAnsi="仿宋" w:eastAsia="仿宋" w:cs="仿宋"/>
          <w:bCs/>
          <w:kern w:val="0"/>
          <w:szCs w:val="21"/>
        </w:rPr>
        <w:t>.其他材料</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9.</w:t>
      </w:r>
      <w:r>
        <w:rPr>
          <w:rFonts w:hint="eastAsia" w:ascii="仿宋" w:hAnsi="仿宋" w:eastAsia="仿宋" w:cs="仿宋"/>
          <w:bCs/>
          <w:kern w:val="0"/>
          <w:szCs w:val="21"/>
        </w:rPr>
        <w:t>遵守国家有关法律、法规和规章，按招标文件中投标人须知和技术规格要求提供的有关文件。</w:t>
      </w:r>
    </w:p>
    <w:p>
      <w:pPr>
        <w:widowControl/>
        <w:tabs>
          <w:tab w:val="left" w:pos="1050"/>
        </w:tabs>
        <w:spacing w:line="520" w:lineRule="exact"/>
        <w:ind w:left="57" w:right="57" w:firstLine="57"/>
        <w:jc w:val="left"/>
        <w:rPr>
          <w:rFonts w:ascii="仿宋" w:hAnsi="仿宋" w:eastAsia="仿宋" w:cs="仿宋"/>
          <w:bCs/>
          <w:kern w:val="0"/>
          <w:szCs w:val="21"/>
        </w:rPr>
      </w:pPr>
      <w:r>
        <w:rPr>
          <w:rFonts w:hint="eastAsia" w:ascii="仿宋" w:hAnsi="仿宋" w:eastAsia="仿宋" w:cs="仿宋"/>
          <w:bCs/>
          <w:kern w:val="0"/>
          <w:szCs w:val="21"/>
        </w:rPr>
        <w:t>供货商：（盖章）</w:t>
      </w:r>
    </w:p>
    <w:p>
      <w:pPr>
        <w:widowControl/>
        <w:tabs>
          <w:tab w:val="left" w:pos="1050"/>
        </w:tabs>
        <w:spacing w:line="520" w:lineRule="exact"/>
        <w:ind w:left="57" w:right="57" w:firstLine="57"/>
        <w:jc w:val="left"/>
        <w:rPr>
          <w:rFonts w:ascii="仿宋" w:hAnsi="仿宋" w:eastAsia="仿宋" w:cs="仿宋"/>
          <w:bCs/>
          <w:kern w:val="0"/>
          <w:szCs w:val="21"/>
        </w:rPr>
      </w:pPr>
      <w:r>
        <w:rPr>
          <w:rFonts w:hint="eastAsia" w:ascii="仿宋" w:hAnsi="仿宋" w:eastAsia="仿宋" w:cs="仿宋"/>
          <w:bCs/>
          <w:kern w:val="0"/>
          <w:szCs w:val="21"/>
        </w:rPr>
        <w:t>法定代表人或其授权委托代理人：</w:t>
      </w:r>
      <w:r>
        <w:rPr>
          <w:rFonts w:hint="eastAsia" w:ascii="仿宋" w:hAnsi="仿宋" w:eastAsia="仿宋" w:cs="仿宋"/>
          <w:szCs w:val="21"/>
        </w:rPr>
        <w:t>（</w:t>
      </w:r>
      <w:r>
        <w:rPr>
          <w:rFonts w:hint="eastAsia" w:ascii="仿宋" w:hAnsi="仿宋" w:eastAsia="仿宋" w:cs="仿宋"/>
          <w:bCs/>
          <w:kern w:val="0"/>
          <w:szCs w:val="21"/>
        </w:rPr>
        <w:t>盖章或签字</w:t>
      </w:r>
      <w:r>
        <w:rPr>
          <w:rFonts w:hint="eastAsia" w:ascii="仿宋" w:hAnsi="仿宋" w:eastAsia="仿宋" w:cs="仿宋"/>
          <w:szCs w:val="21"/>
        </w:rPr>
        <w:t>)</w:t>
      </w:r>
      <w:r>
        <w:rPr>
          <w:rFonts w:hint="eastAsia" w:ascii="仿宋" w:hAnsi="仿宋" w:eastAsia="仿宋" w:cs="仿宋"/>
          <w:bCs/>
          <w:kern w:val="0"/>
          <w:szCs w:val="21"/>
        </w:rPr>
        <w:t xml:space="preserve">                         </w:t>
      </w:r>
    </w:p>
    <w:p>
      <w:pPr>
        <w:widowControl/>
        <w:tabs>
          <w:tab w:val="left" w:pos="1050"/>
        </w:tabs>
        <w:spacing w:line="520" w:lineRule="exact"/>
        <w:ind w:right="57" w:firstLine="130" w:firstLineChars="50"/>
        <w:rPr>
          <w:rFonts w:ascii="仿宋" w:hAnsi="仿宋" w:eastAsia="仿宋" w:cs="仿宋"/>
          <w:bCs/>
          <w:kern w:val="0"/>
          <w:szCs w:val="21"/>
        </w:rPr>
      </w:pPr>
      <w:r>
        <w:rPr>
          <w:rFonts w:hint="eastAsia" w:ascii="仿宋" w:hAnsi="仿宋" w:eastAsia="仿宋" w:cs="仿宋"/>
          <w:bCs/>
          <w:kern w:val="0"/>
          <w:szCs w:val="21"/>
        </w:rPr>
        <w:t>单位地址：</w:t>
      </w:r>
    </w:p>
    <w:p>
      <w:pPr>
        <w:widowControl/>
        <w:tabs>
          <w:tab w:val="left" w:pos="1050"/>
        </w:tabs>
        <w:spacing w:line="520" w:lineRule="exact"/>
        <w:ind w:right="57" w:firstLine="130" w:firstLineChars="50"/>
        <w:rPr>
          <w:rFonts w:ascii="仿宋" w:hAnsi="仿宋" w:eastAsia="仿宋" w:cs="仿宋"/>
          <w:bCs/>
          <w:kern w:val="0"/>
          <w:szCs w:val="21"/>
        </w:rPr>
      </w:pPr>
      <w:r>
        <w:rPr>
          <w:rFonts w:hint="eastAsia" w:ascii="仿宋" w:hAnsi="仿宋" w:eastAsia="仿宋" w:cs="仿宋"/>
          <w:bCs/>
          <w:kern w:val="0"/>
          <w:szCs w:val="21"/>
        </w:rPr>
        <w:t>传真：</w:t>
      </w:r>
    </w:p>
    <w:p>
      <w:pPr>
        <w:widowControl/>
        <w:tabs>
          <w:tab w:val="left" w:pos="1050"/>
        </w:tabs>
        <w:spacing w:line="520" w:lineRule="exact"/>
        <w:ind w:right="57" w:firstLine="130" w:firstLineChars="50"/>
        <w:rPr>
          <w:rFonts w:ascii="仿宋" w:hAnsi="仿宋" w:eastAsia="仿宋" w:cs="仿宋"/>
          <w:bCs/>
          <w:kern w:val="0"/>
          <w:szCs w:val="21"/>
        </w:rPr>
      </w:pPr>
      <w:r>
        <w:rPr>
          <w:rFonts w:hint="eastAsia" w:ascii="仿宋" w:hAnsi="仿宋" w:eastAsia="仿宋" w:cs="仿宋"/>
          <w:bCs/>
          <w:kern w:val="0"/>
          <w:szCs w:val="21"/>
        </w:rPr>
        <w:t>电话：</w:t>
      </w:r>
    </w:p>
    <w:p>
      <w:pPr>
        <w:widowControl/>
        <w:tabs>
          <w:tab w:val="left" w:pos="1050"/>
        </w:tabs>
        <w:spacing w:line="520" w:lineRule="exact"/>
        <w:ind w:right="57" w:firstLine="130" w:firstLineChars="50"/>
        <w:rPr>
          <w:rFonts w:ascii="仿宋" w:hAnsi="仿宋" w:eastAsia="仿宋" w:cs="仿宋"/>
          <w:bCs/>
          <w:kern w:val="0"/>
          <w:szCs w:val="21"/>
        </w:rPr>
      </w:pPr>
      <w:r>
        <w:rPr>
          <w:rFonts w:hint="eastAsia" w:ascii="仿宋" w:hAnsi="仿宋" w:eastAsia="仿宋" w:cs="仿宋"/>
          <w:bCs/>
          <w:kern w:val="0"/>
          <w:szCs w:val="21"/>
        </w:rPr>
        <w:t>投标人开户银行（全称）：</w:t>
      </w:r>
    </w:p>
    <w:p>
      <w:pPr>
        <w:widowControl/>
        <w:tabs>
          <w:tab w:val="left" w:pos="1050"/>
        </w:tabs>
        <w:spacing w:line="520" w:lineRule="exact"/>
        <w:ind w:right="57" w:firstLine="130" w:firstLineChars="50"/>
        <w:rPr>
          <w:rFonts w:ascii="仿宋" w:hAnsi="仿宋" w:eastAsia="仿宋" w:cs="仿宋"/>
          <w:bCs/>
          <w:kern w:val="0"/>
          <w:szCs w:val="21"/>
        </w:rPr>
      </w:pPr>
      <w:r>
        <w:rPr>
          <w:rFonts w:hint="eastAsia" w:ascii="仿宋" w:hAnsi="仿宋" w:eastAsia="仿宋" w:cs="仿宋"/>
          <w:bCs/>
          <w:kern w:val="0"/>
          <w:szCs w:val="21"/>
        </w:rPr>
        <w:t>投标人银行账号：</w:t>
      </w:r>
    </w:p>
    <w:p>
      <w:pPr>
        <w:widowControl/>
        <w:tabs>
          <w:tab w:val="left" w:pos="1050"/>
        </w:tabs>
        <w:spacing w:line="520" w:lineRule="exact"/>
        <w:ind w:right="57" w:firstLine="130" w:firstLineChars="50"/>
        <w:rPr>
          <w:rFonts w:ascii="仿宋" w:hAnsi="仿宋" w:eastAsia="仿宋" w:cs="仿宋"/>
          <w:bCs/>
          <w:kern w:val="0"/>
          <w:szCs w:val="21"/>
        </w:rPr>
      </w:pPr>
      <w:r>
        <w:rPr>
          <w:rFonts w:hint="eastAsia" w:ascii="仿宋" w:hAnsi="仿宋" w:eastAsia="仿宋" w:cs="仿宋"/>
          <w:bCs/>
          <w:kern w:val="0"/>
          <w:szCs w:val="21"/>
        </w:rPr>
        <w:t xml:space="preserve">    日期：_______年_______月_______日</w:t>
      </w:r>
    </w:p>
    <w:p>
      <w:pPr>
        <w:widowControl/>
        <w:tabs>
          <w:tab w:val="left" w:pos="1050"/>
        </w:tabs>
        <w:spacing w:line="520" w:lineRule="exact"/>
        <w:ind w:right="57" w:firstLine="130" w:firstLineChars="50"/>
        <w:rPr>
          <w:rFonts w:ascii="仿宋" w:hAnsi="仿宋" w:eastAsia="仿宋" w:cs="仿宋"/>
          <w:bCs/>
          <w:kern w:val="0"/>
          <w:szCs w:val="21"/>
        </w:rPr>
      </w:pPr>
    </w:p>
    <w:p>
      <w:pPr>
        <w:pStyle w:val="2"/>
        <w:rPr>
          <w:rFonts w:ascii="仿宋" w:hAnsi="仿宋" w:eastAsia="仿宋" w:cs="仿宋"/>
          <w:bCs/>
          <w:color w:val="auto"/>
          <w:szCs w:val="21"/>
        </w:rPr>
      </w:pPr>
    </w:p>
    <w:p>
      <w:pPr>
        <w:rPr>
          <w:rFonts w:ascii="仿宋" w:hAnsi="仿宋" w:eastAsia="仿宋" w:cs="仿宋"/>
        </w:rPr>
      </w:pPr>
      <w:bookmarkStart w:id="120" w:name="_Toc47418725"/>
      <w:bookmarkStart w:id="121" w:name="_Toc47262063"/>
      <w:bookmarkStart w:id="122" w:name="_Toc47418932"/>
      <w:bookmarkStart w:id="123" w:name="_Toc48791229"/>
      <w:bookmarkStart w:id="124" w:name="_Toc47418249"/>
      <w:bookmarkStart w:id="125" w:name="_Toc49019230"/>
      <w:bookmarkStart w:id="126" w:name="_Toc47261879"/>
      <w:bookmarkStart w:id="127" w:name="_Toc47261684"/>
      <w:bookmarkStart w:id="128" w:name="_Toc48995845"/>
    </w:p>
    <w:p>
      <w:pPr>
        <w:pStyle w:val="2"/>
        <w:rPr>
          <w:rFonts w:ascii="宋体" w:hAnsi="宋体"/>
          <w:b/>
          <w:sz w:val="32"/>
          <w:szCs w:val="32"/>
        </w:rPr>
      </w:pPr>
      <w:r>
        <w:rPr>
          <w:rFonts w:hint="eastAsia" w:ascii="仿宋" w:hAnsi="仿宋" w:eastAsia="仿宋" w:cs="仿宋"/>
          <w:bCs/>
          <w:color w:val="auto"/>
          <w:szCs w:val="21"/>
        </w:rPr>
        <w:t>1.</w:t>
      </w:r>
      <w:r>
        <w:rPr>
          <w:rFonts w:hint="eastAsia" w:ascii="仿宋" w:hAnsi="仿宋" w:eastAsia="仿宋" w:cs="仿宋"/>
          <w:bCs/>
          <w:color w:val="auto"/>
          <w:szCs w:val="21"/>
          <w:lang w:val="en-US" w:eastAsia="zh-CN"/>
        </w:rPr>
        <w:t>1</w:t>
      </w:r>
      <w:r>
        <w:rPr>
          <w:rFonts w:hint="eastAsia" w:ascii="宋体" w:hAnsi="宋体"/>
          <w:b/>
          <w:sz w:val="32"/>
          <w:szCs w:val="32"/>
        </w:rPr>
        <w:t>法人代表授权书</w:t>
      </w:r>
    </w:p>
    <w:p>
      <w:pPr>
        <w:ind w:firstLine="660"/>
        <w:jc w:val="center"/>
        <w:rPr>
          <w:rFonts w:ascii="宋体" w:hAnsi="宋体"/>
          <w:sz w:val="28"/>
        </w:rPr>
      </w:pPr>
    </w:p>
    <w:p>
      <w:pPr>
        <w:spacing w:line="520" w:lineRule="exact"/>
        <w:ind w:firstLine="990"/>
        <w:rPr>
          <w:rFonts w:ascii="宋体" w:hAnsi="宋体"/>
          <w:sz w:val="24"/>
        </w:rPr>
      </w:pPr>
      <w:r>
        <w:rPr>
          <w:rFonts w:hint="eastAsia" w:ascii="宋体" w:hAnsi="宋体"/>
          <w:sz w:val="24"/>
        </w:rPr>
        <w:t>本授权书声明：注册于</w:t>
      </w:r>
      <w:r>
        <w:rPr>
          <w:rFonts w:hint="eastAsia" w:ascii="宋体" w:hAnsi="宋体"/>
          <w:sz w:val="24"/>
          <w:u w:val="single"/>
        </w:rPr>
        <w:t xml:space="preserve">      省（市）</w:t>
      </w:r>
      <w:r>
        <w:rPr>
          <w:rFonts w:hint="eastAsia" w:ascii="宋体" w:hAnsi="宋体"/>
          <w:sz w:val="24"/>
        </w:rPr>
        <w:t xml:space="preserve"> 的</w:t>
      </w:r>
      <w:r>
        <w:rPr>
          <w:rFonts w:hint="eastAsia" w:ascii="宋体" w:hAnsi="宋体"/>
          <w:sz w:val="24"/>
          <w:u w:val="single"/>
        </w:rPr>
        <w:t xml:space="preserve">         </w:t>
      </w:r>
      <w:r>
        <w:rPr>
          <w:rFonts w:hint="eastAsia" w:ascii="宋体" w:hAnsi="宋体"/>
          <w:sz w:val="24"/>
        </w:rPr>
        <w:t xml:space="preserve"> 公司的（法人代表姓名、职务）代本公司授予</w:t>
      </w:r>
      <w:r>
        <w:rPr>
          <w:rFonts w:hint="eastAsia" w:ascii="宋体" w:hAnsi="宋体"/>
          <w:sz w:val="24"/>
          <w:u w:val="single"/>
        </w:rPr>
        <w:t xml:space="preserve">     </w:t>
      </w:r>
      <w:r>
        <w:rPr>
          <w:rFonts w:hint="eastAsia" w:ascii="宋体" w:hAnsi="宋体"/>
          <w:sz w:val="24"/>
        </w:rPr>
        <w:t xml:space="preserve"> (被授权人的姓名、职务)为公司的合法代理人，就招标编号为________的_________项目投标及合同的执行、完成和保修，以本公司名义处理一切与之有关的事务。</w:t>
      </w:r>
    </w:p>
    <w:p>
      <w:pPr>
        <w:spacing w:line="520" w:lineRule="exact"/>
        <w:ind w:firstLine="660"/>
        <w:rPr>
          <w:rFonts w:ascii="宋体" w:hAnsi="宋体"/>
          <w:sz w:val="24"/>
        </w:rPr>
      </w:pPr>
    </w:p>
    <w:p>
      <w:pPr>
        <w:ind w:firstLine="660"/>
        <w:rPr>
          <w:rFonts w:ascii="宋体" w:hAnsi="宋体"/>
          <w:sz w:val="24"/>
        </w:rPr>
      </w:pPr>
    </w:p>
    <w:p>
      <w:pPr>
        <w:ind w:firstLine="660"/>
        <w:rPr>
          <w:rFonts w:ascii="宋体" w:hAnsi="宋体"/>
          <w:sz w:val="24"/>
        </w:rPr>
      </w:pPr>
    </w:p>
    <w:p>
      <w:pPr>
        <w:rPr>
          <w:rFonts w:ascii="宋体" w:hAnsi="宋体"/>
          <w:sz w:val="24"/>
        </w:rPr>
      </w:pPr>
      <w:r>
        <w:rPr>
          <w:rFonts w:hint="eastAsia" w:ascii="宋体" w:hAnsi="宋体"/>
          <w:sz w:val="24"/>
        </w:rPr>
        <w:t>本授权书于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 </w:t>
      </w:r>
      <w:r>
        <w:rPr>
          <w:rFonts w:hint="eastAsia" w:ascii="宋体" w:hAnsi="宋体"/>
          <w:sz w:val="24"/>
          <w:u w:val="single"/>
        </w:rPr>
        <w:t xml:space="preserve">     </w:t>
      </w:r>
      <w:r>
        <w:rPr>
          <w:rFonts w:hint="eastAsia" w:ascii="宋体" w:hAnsi="宋体"/>
          <w:sz w:val="24"/>
        </w:rPr>
        <w:t>日签字生效，特此声明。</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法定代表人（签字）：</w:t>
      </w:r>
      <w:r>
        <w:rPr>
          <w:rFonts w:hint="eastAsia" w:ascii="宋体" w:hAnsi="宋体"/>
          <w:sz w:val="24"/>
          <w:u w:val="single"/>
        </w:rPr>
        <w:t xml:space="preserve">            </w:t>
      </w:r>
      <w:r>
        <w:rPr>
          <w:rFonts w:hint="eastAsia" w:ascii="宋体" w:hAnsi="宋体"/>
          <w:sz w:val="24"/>
        </w:rPr>
        <w:t xml:space="preserve"> </w:t>
      </w:r>
    </w:p>
    <w:p>
      <w:pPr>
        <w:rPr>
          <w:rFonts w:ascii="宋体" w:hAnsi="宋体"/>
          <w:sz w:val="24"/>
        </w:rPr>
      </w:pPr>
    </w:p>
    <w:p>
      <w:pPr>
        <w:rPr>
          <w:rFonts w:ascii="宋体" w:hAnsi="宋体"/>
          <w:sz w:val="24"/>
          <w:u w:val="single"/>
        </w:rPr>
      </w:pPr>
      <w:r>
        <w:rPr>
          <w:rFonts w:hint="eastAsia" w:ascii="宋体" w:hAnsi="宋体"/>
          <w:sz w:val="24"/>
        </w:rPr>
        <w:t>代理人(被授权人)签字：</w:t>
      </w:r>
      <w:r>
        <w:rPr>
          <w:rFonts w:hint="eastAsia" w:ascii="宋体" w:hAnsi="宋体"/>
          <w:sz w:val="24"/>
          <w:u w:val="single"/>
        </w:rPr>
        <w:t xml:space="preserve">                    </w:t>
      </w:r>
    </w:p>
    <w:p>
      <w:pPr>
        <w:jc w:val="right"/>
        <w:rPr>
          <w:rFonts w:ascii="宋体" w:hAnsi="宋体"/>
          <w:sz w:val="24"/>
        </w:rPr>
      </w:pPr>
    </w:p>
    <w:p>
      <w:pPr>
        <w:jc w:val="right"/>
        <w:rPr>
          <w:rFonts w:ascii="宋体" w:hAnsi="宋体"/>
          <w:sz w:val="24"/>
        </w:rPr>
      </w:pPr>
    </w:p>
    <w:p>
      <w:pPr>
        <w:jc w:val="right"/>
        <w:rPr>
          <w:rFonts w:ascii="宋体" w:hAnsi="宋体"/>
          <w:sz w:val="24"/>
        </w:rPr>
      </w:pPr>
      <w:r>
        <w:rPr>
          <w:rFonts w:hint="eastAsia" w:ascii="宋体" w:hAnsi="宋体"/>
          <w:sz w:val="24"/>
        </w:rPr>
        <w:t>单位名称：</w:t>
      </w:r>
      <w:r>
        <w:rPr>
          <w:rFonts w:hint="eastAsia" w:ascii="宋体" w:hAnsi="宋体"/>
          <w:sz w:val="24"/>
          <w:u w:val="single"/>
        </w:rPr>
        <w:t xml:space="preserve">                    </w:t>
      </w:r>
      <w:r>
        <w:rPr>
          <w:rFonts w:hint="eastAsia" w:ascii="宋体" w:hAnsi="宋体"/>
          <w:sz w:val="24"/>
        </w:rPr>
        <w:t>（盖章）</w:t>
      </w:r>
    </w:p>
    <w:p>
      <w:pPr>
        <w:wordWrap w:val="0"/>
        <w:jc w:val="right"/>
        <w:rPr>
          <w:rFonts w:ascii="宋体" w:hAnsi="宋体"/>
          <w:sz w:val="24"/>
        </w:rPr>
      </w:pPr>
      <w:r>
        <w:rPr>
          <w:rFonts w:hint="eastAsia" w:ascii="宋体" w:hAnsi="宋体"/>
          <w:sz w:val="24"/>
        </w:rPr>
        <w:t xml:space="preserve">年     月    日        </w:t>
      </w:r>
    </w:p>
    <w:p>
      <w:pPr>
        <w:rPr>
          <w:rFonts w:ascii="宋体" w:hAnsi="宋体"/>
          <w:sz w:val="24"/>
        </w:rPr>
        <w:sectPr>
          <w:pgSz w:w="11907" w:h="16839"/>
          <w:pgMar w:top="1361" w:right="1134" w:bottom="1440" w:left="1134" w:header="851" w:footer="992" w:gutter="0"/>
          <w:cols w:space="720" w:num="1"/>
          <w:docGrid w:type="linesAndChars" w:linePitch="286" w:charSpace="10240"/>
        </w:sectPr>
      </w:pPr>
      <w:r>
        <w:rPr>
          <w:rFonts w:hint="eastAsia" w:ascii="宋体" w:hAnsi="宋体"/>
          <w:sz w:val="24"/>
        </w:rPr>
        <w:t xml:space="preserve"> </w:t>
      </w:r>
    </w:p>
    <w:bookmarkEnd w:id="120"/>
    <w:bookmarkEnd w:id="121"/>
    <w:bookmarkEnd w:id="122"/>
    <w:bookmarkEnd w:id="123"/>
    <w:bookmarkEnd w:id="124"/>
    <w:bookmarkEnd w:id="125"/>
    <w:bookmarkEnd w:id="126"/>
    <w:bookmarkEnd w:id="127"/>
    <w:bookmarkEnd w:id="128"/>
    <w:p>
      <w:pPr>
        <w:pageBreakBefore/>
        <w:spacing w:line="360" w:lineRule="auto"/>
        <w:rPr>
          <w:rFonts w:ascii="仿宋" w:hAnsi="仿宋" w:eastAsia="仿宋" w:cs="仿宋"/>
          <w:b/>
          <w:bCs/>
          <w:szCs w:val="21"/>
        </w:rPr>
      </w:pPr>
      <w:bookmarkStart w:id="129" w:name="_Toc49019231"/>
      <w:bookmarkStart w:id="130" w:name="_Toc47418726"/>
      <w:bookmarkStart w:id="131" w:name="_Toc48791230"/>
      <w:bookmarkStart w:id="132" w:name="_Toc47262064"/>
      <w:bookmarkStart w:id="133" w:name="_Toc47261880"/>
      <w:bookmarkStart w:id="134" w:name="_Toc47261685"/>
      <w:bookmarkStart w:id="135" w:name="_Toc48995846"/>
      <w:bookmarkStart w:id="136" w:name="_Toc47418933"/>
      <w:bookmarkStart w:id="137" w:name="_Toc47418250"/>
      <w:r>
        <w:rPr>
          <w:rFonts w:hint="eastAsia" w:ascii="仿宋" w:hAnsi="仿宋" w:eastAsia="仿宋" w:cs="仿宋"/>
          <w:b/>
          <w:bCs/>
          <w:szCs w:val="21"/>
          <w:lang w:val="en-US" w:eastAsia="zh-CN"/>
        </w:rPr>
        <w:t>1</w:t>
      </w:r>
      <w:r>
        <w:rPr>
          <w:rFonts w:hint="eastAsia" w:ascii="仿宋" w:hAnsi="仿宋" w:eastAsia="仿宋" w:cs="仿宋"/>
          <w:b/>
          <w:bCs/>
          <w:szCs w:val="21"/>
        </w:rPr>
        <w:t>、投标分项报价表格式</w:t>
      </w:r>
    </w:p>
    <w:p>
      <w:pPr>
        <w:spacing w:line="360" w:lineRule="auto"/>
        <w:rPr>
          <w:rFonts w:ascii="仿宋" w:hAnsi="仿宋" w:eastAsia="仿宋" w:cs="仿宋"/>
        </w:rPr>
      </w:pPr>
      <w:r>
        <w:rPr>
          <w:rFonts w:hint="eastAsia" w:ascii="仿宋" w:hAnsi="仿宋" w:eastAsia="仿宋" w:cs="仿宋"/>
        </w:rPr>
        <w:t>投标人名称：</w:t>
      </w:r>
      <w:r>
        <w:rPr>
          <w:rFonts w:hint="eastAsia" w:ascii="仿宋" w:hAnsi="仿宋" w:eastAsia="仿宋" w:cs="仿宋"/>
          <w:u w:val="single"/>
        </w:rPr>
        <w:t xml:space="preserve">                </w:t>
      </w:r>
      <w:r>
        <w:rPr>
          <w:rFonts w:hint="eastAsia" w:ascii="仿宋" w:hAnsi="仿宋" w:eastAsia="仿宋" w:cs="仿宋"/>
        </w:rPr>
        <w:t xml:space="preserve">  项目编号：</w:t>
      </w:r>
      <w:r>
        <w:rPr>
          <w:rFonts w:hint="eastAsia" w:ascii="仿宋" w:hAnsi="仿宋" w:eastAsia="仿宋" w:cs="仿宋"/>
          <w:u w:val="single"/>
        </w:rPr>
        <w:t xml:space="preserve">            </w:t>
      </w:r>
      <w:r>
        <w:rPr>
          <w:rFonts w:hint="eastAsia" w:ascii="仿宋" w:hAnsi="仿宋" w:eastAsia="仿宋" w:cs="仿宋"/>
        </w:rPr>
        <w:t xml:space="preserve">  包号：  报价单位：人民币元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4953"/>
        <w:gridCol w:w="1094"/>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序号</w:t>
            </w:r>
          </w:p>
        </w:tc>
        <w:tc>
          <w:tcPr>
            <w:tcW w:w="4953" w:type="dxa"/>
            <w:tcBorders>
              <w:lef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名称</w:t>
            </w:r>
          </w:p>
        </w:tc>
        <w:tc>
          <w:tcPr>
            <w:tcW w:w="1094" w:type="dxa"/>
            <w:vAlign w:val="center"/>
          </w:tcPr>
          <w:p>
            <w:pPr>
              <w:spacing w:line="360" w:lineRule="auto"/>
              <w:jc w:val="center"/>
              <w:rPr>
                <w:rFonts w:ascii="仿宋" w:hAnsi="仿宋" w:eastAsia="仿宋" w:cs="仿宋"/>
              </w:rPr>
            </w:pPr>
            <w:r>
              <w:rPr>
                <w:rFonts w:hint="eastAsia" w:ascii="仿宋" w:hAnsi="仿宋" w:eastAsia="仿宋" w:cs="仿宋"/>
              </w:rPr>
              <w:t>单价</w:t>
            </w:r>
          </w:p>
        </w:tc>
        <w:tc>
          <w:tcPr>
            <w:tcW w:w="1473" w:type="dxa"/>
            <w:vAlign w:val="center"/>
          </w:tcPr>
          <w:p>
            <w:pPr>
              <w:spacing w:line="360" w:lineRule="auto"/>
              <w:jc w:val="center"/>
              <w:rPr>
                <w:rFonts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Borders>
              <w:top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1</w:t>
            </w:r>
          </w:p>
        </w:tc>
        <w:tc>
          <w:tcPr>
            <w:tcW w:w="4953" w:type="dxa"/>
            <w:vAlign w:val="center"/>
          </w:tcPr>
          <w:p>
            <w:pPr>
              <w:spacing w:line="360" w:lineRule="auto"/>
              <w:rPr>
                <w:rFonts w:ascii="仿宋" w:hAnsi="仿宋" w:eastAsia="仿宋" w:cs="仿宋"/>
              </w:rPr>
            </w:pPr>
          </w:p>
        </w:tc>
        <w:tc>
          <w:tcPr>
            <w:tcW w:w="1094" w:type="dxa"/>
          </w:tcPr>
          <w:p>
            <w:pPr>
              <w:spacing w:line="360" w:lineRule="auto"/>
              <w:rPr>
                <w:rFonts w:ascii="仿宋" w:hAnsi="仿宋" w:eastAsia="仿宋" w:cs="仿宋"/>
              </w:rPr>
            </w:pPr>
          </w:p>
        </w:tc>
        <w:tc>
          <w:tcPr>
            <w:tcW w:w="1473" w:type="dxa"/>
          </w:tcPr>
          <w:p>
            <w:pPr>
              <w:spacing w:line="36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spacing w:line="360" w:lineRule="auto"/>
              <w:jc w:val="center"/>
              <w:rPr>
                <w:rFonts w:ascii="仿宋" w:hAnsi="仿宋" w:eastAsia="仿宋" w:cs="仿宋"/>
              </w:rPr>
            </w:pPr>
            <w:r>
              <w:rPr>
                <w:rFonts w:hint="eastAsia" w:ascii="仿宋" w:hAnsi="仿宋" w:eastAsia="仿宋" w:cs="仿宋"/>
              </w:rPr>
              <w:t>2</w:t>
            </w:r>
          </w:p>
        </w:tc>
        <w:tc>
          <w:tcPr>
            <w:tcW w:w="4953" w:type="dxa"/>
            <w:vAlign w:val="center"/>
          </w:tcPr>
          <w:p>
            <w:pPr>
              <w:spacing w:line="360" w:lineRule="auto"/>
              <w:rPr>
                <w:rFonts w:ascii="仿宋" w:hAnsi="仿宋" w:eastAsia="仿宋" w:cs="仿宋"/>
              </w:rPr>
            </w:pPr>
          </w:p>
        </w:tc>
        <w:tc>
          <w:tcPr>
            <w:tcW w:w="1094" w:type="dxa"/>
          </w:tcPr>
          <w:p>
            <w:pPr>
              <w:spacing w:line="360" w:lineRule="auto"/>
              <w:rPr>
                <w:rFonts w:ascii="仿宋" w:hAnsi="仿宋" w:eastAsia="仿宋" w:cs="仿宋"/>
              </w:rPr>
            </w:pPr>
          </w:p>
        </w:tc>
        <w:tc>
          <w:tcPr>
            <w:tcW w:w="1473" w:type="dxa"/>
          </w:tcPr>
          <w:p>
            <w:pPr>
              <w:spacing w:line="36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6" w:type="dxa"/>
            <w:vAlign w:val="center"/>
          </w:tcPr>
          <w:p>
            <w:pPr>
              <w:spacing w:line="360" w:lineRule="auto"/>
              <w:jc w:val="center"/>
              <w:rPr>
                <w:rFonts w:ascii="仿宋" w:hAnsi="仿宋" w:eastAsia="仿宋" w:cs="仿宋"/>
              </w:rPr>
            </w:pPr>
            <w:r>
              <w:rPr>
                <w:rFonts w:hint="eastAsia" w:ascii="仿宋" w:hAnsi="仿宋" w:eastAsia="仿宋" w:cs="仿宋"/>
              </w:rPr>
              <w:t>3</w:t>
            </w:r>
          </w:p>
        </w:tc>
        <w:tc>
          <w:tcPr>
            <w:tcW w:w="4953" w:type="dxa"/>
            <w:vAlign w:val="center"/>
          </w:tcPr>
          <w:p>
            <w:pPr>
              <w:spacing w:line="360" w:lineRule="auto"/>
              <w:rPr>
                <w:rFonts w:ascii="仿宋" w:hAnsi="仿宋" w:eastAsia="仿宋" w:cs="仿宋"/>
              </w:rPr>
            </w:pPr>
          </w:p>
        </w:tc>
        <w:tc>
          <w:tcPr>
            <w:tcW w:w="1094" w:type="dxa"/>
          </w:tcPr>
          <w:p>
            <w:pPr>
              <w:spacing w:line="360" w:lineRule="auto"/>
              <w:rPr>
                <w:rFonts w:ascii="仿宋" w:hAnsi="仿宋" w:eastAsia="仿宋" w:cs="仿宋"/>
              </w:rPr>
            </w:pPr>
          </w:p>
        </w:tc>
        <w:tc>
          <w:tcPr>
            <w:tcW w:w="1473" w:type="dxa"/>
          </w:tcPr>
          <w:p>
            <w:pPr>
              <w:spacing w:line="36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spacing w:line="360" w:lineRule="auto"/>
              <w:jc w:val="center"/>
              <w:rPr>
                <w:rFonts w:ascii="仿宋" w:hAnsi="仿宋" w:eastAsia="仿宋" w:cs="仿宋"/>
              </w:rPr>
            </w:pPr>
            <w:r>
              <w:rPr>
                <w:rFonts w:hint="eastAsia" w:ascii="仿宋" w:hAnsi="仿宋" w:eastAsia="仿宋" w:cs="仿宋"/>
              </w:rPr>
              <w:t>4</w:t>
            </w:r>
          </w:p>
        </w:tc>
        <w:tc>
          <w:tcPr>
            <w:tcW w:w="4953" w:type="dxa"/>
            <w:vAlign w:val="center"/>
          </w:tcPr>
          <w:p>
            <w:pPr>
              <w:spacing w:line="360" w:lineRule="auto"/>
              <w:rPr>
                <w:rFonts w:ascii="仿宋" w:hAnsi="仿宋" w:eastAsia="仿宋" w:cs="仿宋"/>
              </w:rPr>
            </w:pPr>
          </w:p>
        </w:tc>
        <w:tc>
          <w:tcPr>
            <w:tcW w:w="1094" w:type="dxa"/>
          </w:tcPr>
          <w:p>
            <w:pPr>
              <w:spacing w:line="360" w:lineRule="auto"/>
              <w:rPr>
                <w:rFonts w:ascii="仿宋" w:hAnsi="仿宋" w:eastAsia="仿宋" w:cs="仿宋"/>
              </w:rPr>
            </w:pPr>
          </w:p>
        </w:tc>
        <w:tc>
          <w:tcPr>
            <w:tcW w:w="1473" w:type="dxa"/>
          </w:tcPr>
          <w:p>
            <w:pPr>
              <w:spacing w:line="36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spacing w:line="360" w:lineRule="auto"/>
              <w:jc w:val="center"/>
              <w:rPr>
                <w:rFonts w:ascii="仿宋" w:hAnsi="仿宋" w:eastAsia="仿宋" w:cs="仿宋"/>
              </w:rPr>
            </w:pPr>
            <w:r>
              <w:rPr>
                <w:rFonts w:hint="eastAsia" w:ascii="仿宋" w:hAnsi="仿宋" w:eastAsia="仿宋" w:cs="仿宋"/>
              </w:rPr>
              <w:t>5</w:t>
            </w:r>
          </w:p>
        </w:tc>
        <w:tc>
          <w:tcPr>
            <w:tcW w:w="4953" w:type="dxa"/>
            <w:vAlign w:val="center"/>
          </w:tcPr>
          <w:p>
            <w:pPr>
              <w:spacing w:line="360" w:lineRule="auto"/>
              <w:rPr>
                <w:rFonts w:ascii="仿宋" w:hAnsi="仿宋" w:eastAsia="仿宋" w:cs="仿宋"/>
              </w:rPr>
            </w:pPr>
          </w:p>
        </w:tc>
        <w:tc>
          <w:tcPr>
            <w:tcW w:w="1094" w:type="dxa"/>
          </w:tcPr>
          <w:p>
            <w:pPr>
              <w:spacing w:line="360" w:lineRule="auto"/>
              <w:rPr>
                <w:rFonts w:ascii="仿宋" w:hAnsi="仿宋" w:eastAsia="仿宋" w:cs="仿宋"/>
              </w:rPr>
            </w:pPr>
          </w:p>
        </w:tc>
        <w:tc>
          <w:tcPr>
            <w:tcW w:w="1473" w:type="dxa"/>
          </w:tcPr>
          <w:p>
            <w:pPr>
              <w:spacing w:line="360" w:lineRule="auto"/>
              <w:rPr>
                <w:rFonts w:ascii="仿宋" w:hAnsi="仿宋" w:eastAsia="仿宋" w:cs="仿宋"/>
              </w:rPr>
            </w:pPr>
          </w:p>
        </w:tc>
      </w:tr>
    </w:tbl>
    <w:p>
      <w:pPr>
        <w:spacing w:line="360" w:lineRule="auto"/>
        <w:rPr>
          <w:rFonts w:ascii="仿宋" w:hAnsi="仿宋" w:eastAsia="仿宋" w:cs="仿宋"/>
        </w:rPr>
      </w:pPr>
      <w:r>
        <w:rPr>
          <w:rFonts w:hint="eastAsia" w:ascii="仿宋" w:hAnsi="仿宋" w:eastAsia="仿宋" w:cs="仿宋"/>
          <w:bCs/>
          <w:kern w:val="0"/>
          <w:szCs w:val="21"/>
        </w:rPr>
        <w:t>法定代表人和其授权委托代理人</w:t>
      </w:r>
      <w:r>
        <w:rPr>
          <w:rFonts w:hint="eastAsia" w:ascii="仿宋" w:hAnsi="仿宋" w:eastAsia="仿宋" w:cs="仿宋"/>
          <w:szCs w:val="21"/>
        </w:rPr>
        <w:t>（</w:t>
      </w:r>
      <w:r>
        <w:rPr>
          <w:rFonts w:hint="eastAsia" w:ascii="仿宋" w:hAnsi="仿宋" w:eastAsia="仿宋" w:cs="仿宋"/>
          <w:bCs/>
          <w:kern w:val="0"/>
          <w:szCs w:val="21"/>
        </w:rPr>
        <w:t>签字</w:t>
      </w:r>
      <w:r>
        <w:rPr>
          <w:rFonts w:hint="eastAsia" w:ascii="仿宋" w:hAnsi="仿宋" w:eastAsia="仿宋" w:cs="仿宋"/>
          <w:szCs w:val="21"/>
        </w:rPr>
        <w:t>)</w:t>
      </w:r>
      <w:r>
        <w:rPr>
          <w:rFonts w:hint="eastAsia" w:ascii="仿宋" w:hAnsi="仿宋" w:eastAsia="仿宋" w:cs="仿宋"/>
        </w:rPr>
        <w:t>：</w:t>
      </w:r>
    </w:p>
    <w:p>
      <w:pPr>
        <w:spacing w:line="360" w:lineRule="auto"/>
        <w:rPr>
          <w:rFonts w:ascii="仿宋" w:hAnsi="仿宋" w:eastAsia="仿宋" w:cs="仿宋"/>
        </w:rPr>
      </w:pPr>
      <w:r>
        <w:rPr>
          <w:rFonts w:hint="eastAsia" w:ascii="仿宋" w:hAnsi="仿宋" w:eastAsia="仿宋" w:cs="仿宋"/>
        </w:rPr>
        <w:t>投标人（盖章）：</w:t>
      </w:r>
    </w:p>
    <w:p>
      <w:pPr>
        <w:spacing w:line="360" w:lineRule="auto"/>
        <w:rPr>
          <w:rFonts w:ascii="仿宋" w:hAnsi="仿宋" w:eastAsia="仿宋" w:cs="仿宋"/>
        </w:rPr>
      </w:pPr>
      <w:r>
        <w:rPr>
          <w:rFonts w:hint="eastAsia" w:ascii="仿宋" w:hAnsi="仿宋" w:eastAsia="仿宋" w:cs="仿宋"/>
        </w:rPr>
        <w:t>注：</w:t>
      </w:r>
    </w:p>
    <w:p>
      <w:pPr>
        <w:numPr>
          <w:ilvl w:val="0"/>
          <w:numId w:val="2"/>
        </w:numPr>
        <w:spacing w:line="360" w:lineRule="auto"/>
        <w:rPr>
          <w:rFonts w:ascii="仿宋" w:hAnsi="仿宋" w:eastAsia="仿宋" w:cs="仿宋"/>
        </w:rPr>
      </w:pPr>
      <w:r>
        <w:rPr>
          <w:rFonts w:hint="eastAsia" w:ascii="仿宋" w:hAnsi="仿宋" w:eastAsia="仿宋" w:cs="仿宋"/>
        </w:rPr>
        <w:t>如果不提供详细分项报价将视为没有实质性响应招标文件。</w:t>
      </w:r>
    </w:p>
    <w:p>
      <w:pPr>
        <w:numPr>
          <w:ilvl w:val="0"/>
          <w:numId w:val="2"/>
        </w:numPr>
        <w:spacing w:line="360" w:lineRule="auto"/>
        <w:rPr>
          <w:rFonts w:ascii="仿宋" w:hAnsi="仿宋" w:eastAsia="仿宋" w:cs="仿宋"/>
        </w:rPr>
      </w:pPr>
      <w:r>
        <w:rPr>
          <w:rFonts w:hint="eastAsia" w:ascii="仿宋" w:hAnsi="仿宋" w:eastAsia="仿宋" w:cs="仿宋"/>
        </w:rPr>
        <w:t>上述各项的详细分项报价，应另页描述。</w:t>
      </w:r>
    </w:p>
    <w:p>
      <w:pPr>
        <w:spacing w:line="360" w:lineRule="auto"/>
        <w:rPr>
          <w:rFonts w:ascii="仿宋" w:hAnsi="仿宋" w:eastAsia="仿宋" w:cs="仿宋"/>
        </w:rPr>
      </w:pPr>
    </w:p>
    <w:p>
      <w:pPr>
        <w:spacing w:line="360" w:lineRule="auto"/>
        <w:rPr>
          <w:rFonts w:ascii="仿宋" w:hAnsi="仿宋" w:eastAsia="仿宋" w:cs="仿宋"/>
        </w:rPr>
      </w:pPr>
    </w:p>
    <w:p>
      <w:pPr>
        <w:spacing w:line="360" w:lineRule="auto"/>
        <w:rPr>
          <w:rFonts w:ascii="仿宋" w:hAnsi="仿宋" w:eastAsia="仿宋" w:cs="仿宋"/>
        </w:rPr>
      </w:pPr>
    </w:p>
    <w:p>
      <w:pPr>
        <w:spacing w:line="360" w:lineRule="auto"/>
        <w:rPr>
          <w:rFonts w:ascii="仿宋" w:hAnsi="仿宋" w:eastAsia="仿宋" w:cs="仿宋"/>
        </w:rPr>
      </w:pPr>
    </w:p>
    <w:p>
      <w:pPr>
        <w:spacing w:line="360" w:lineRule="auto"/>
        <w:rPr>
          <w:rFonts w:ascii="仿宋" w:hAnsi="仿宋" w:eastAsia="仿宋" w:cs="仿宋"/>
        </w:rPr>
      </w:pPr>
    </w:p>
    <w:p>
      <w:pPr>
        <w:spacing w:line="360" w:lineRule="auto"/>
        <w:rPr>
          <w:rFonts w:ascii="仿宋" w:hAnsi="仿宋" w:eastAsia="仿宋" w:cs="仿宋"/>
        </w:rPr>
      </w:pPr>
    </w:p>
    <w:p>
      <w:pPr>
        <w:spacing w:line="360" w:lineRule="auto"/>
        <w:rPr>
          <w:rFonts w:ascii="仿宋" w:hAnsi="仿宋" w:eastAsia="仿宋" w:cs="仿宋"/>
        </w:rPr>
      </w:pPr>
    </w:p>
    <w:bookmarkEnd w:id="129"/>
    <w:bookmarkEnd w:id="130"/>
    <w:bookmarkEnd w:id="131"/>
    <w:bookmarkEnd w:id="132"/>
    <w:bookmarkEnd w:id="133"/>
    <w:bookmarkEnd w:id="134"/>
    <w:bookmarkEnd w:id="135"/>
    <w:bookmarkEnd w:id="136"/>
    <w:bookmarkEnd w:id="137"/>
    <w:p>
      <w:pPr>
        <w:pageBreakBefore/>
        <w:spacing w:line="360" w:lineRule="auto"/>
        <w:rPr>
          <w:rFonts w:ascii="仿宋" w:hAnsi="仿宋" w:eastAsia="仿宋" w:cs="仿宋"/>
          <w:b/>
          <w:bCs/>
          <w:szCs w:val="21"/>
        </w:rPr>
      </w:pPr>
      <w:bookmarkStart w:id="138" w:name="_Toc47418729"/>
      <w:bookmarkStart w:id="139" w:name="_Toc47261688"/>
      <w:bookmarkStart w:id="140" w:name="_Toc88466046"/>
      <w:bookmarkStart w:id="141" w:name="_Toc47261883"/>
      <w:bookmarkStart w:id="142" w:name="_Toc47262067"/>
      <w:bookmarkStart w:id="143" w:name="_Toc47418253"/>
      <w:bookmarkStart w:id="144" w:name="_Toc49019234"/>
      <w:bookmarkStart w:id="145" w:name="_Toc48791233"/>
      <w:bookmarkStart w:id="146" w:name="_Toc48995849"/>
      <w:bookmarkStart w:id="147" w:name="_Toc47418936"/>
      <w:r>
        <w:rPr>
          <w:rFonts w:hint="eastAsia" w:ascii="仿宋" w:hAnsi="仿宋" w:eastAsia="仿宋" w:cs="仿宋"/>
          <w:b/>
          <w:bCs/>
          <w:szCs w:val="21"/>
          <w:lang w:val="en-US" w:eastAsia="zh-CN"/>
        </w:rPr>
        <w:t>2</w:t>
      </w:r>
      <w:r>
        <w:rPr>
          <w:rFonts w:hint="eastAsia" w:ascii="仿宋" w:hAnsi="仿宋" w:eastAsia="仿宋" w:cs="仿宋"/>
          <w:b/>
          <w:bCs/>
          <w:szCs w:val="21"/>
        </w:rPr>
        <w:t>、技术条款偏离表格式</w:t>
      </w:r>
      <w:bookmarkEnd w:id="138"/>
      <w:bookmarkEnd w:id="139"/>
      <w:bookmarkEnd w:id="140"/>
      <w:bookmarkEnd w:id="141"/>
      <w:bookmarkEnd w:id="142"/>
      <w:bookmarkEnd w:id="143"/>
      <w:bookmarkEnd w:id="144"/>
      <w:bookmarkEnd w:id="145"/>
      <w:bookmarkEnd w:id="146"/>
      <w:bookmarkEnd w:id="147"/>
    </w:p>
    <w:p>
      <w:pPr>
        <w:spacing w:line="360" w:lineRule="auto"/>
        <w:rPr>
          <w:rFonts w:ascii="仿宋" w:hAnsi="仿宋" w:eastAsia="仿宋" w:cs="仿宋"/>
          <w:szCs w:val="21"/>
        </w:rPr>
      </w:pPr>
    </w:p>
    <w:p>
      <w:pPr>
        <w:spacing w:line="360" w:lineRule="auto"/>
        <w:jc w:val="center"/>
        <w:rPr>
          <w:rFonts w:ascii="仿宋" w:hAnsi="仿宋" w:eastAsia="仿宋" w:cs="仿宋"/>
          <w:b/>
          <w:bCs/>
          <w:szCs w:val="21"/>
        </w:rPr>
      </w:pPr>
      <w:r>
        <w:rPr>
          <w:rFonts w:hint="eastAsia" w:ascii="仿宋" w:hAnsi="仿宋" w:eastAsia="仿宋" w:cs="仿宋"/>
          <w:b/>
          <w:bCs/>
          <w:szCs w:val="21"/>
        </w:rPr>
        <w:t>技术条款偏离表</w:t>
      </w:r>
    </w:p>
    <w:p>
      <w:pPr>
        <w:spacing w:line="360" w:lineRule="auto"/>
        <w:rPr>
          <w:rFonts w:ascii="仿宋" w:hAnsi="仿宋" w:eastAsia="仿宋" w:cs="仿宋"/>
          <w:szCs w:val="21"/>
          <w:u w:val="single"/>
        </w:rPr>
      </w:pPr>
      <w:r>
        <w:rPr>
          <w:rFonts w:hint="eastAsia" w:ascii="仿宋" w:hAnsi="仿宋" w:eastAsia="仿宋" w:cs="仿宋"/>
          <w:szCs w:val="21"/>
        </w:rPr>
        <w:t>投标人名称：                                         项目编号：</w:t>
      </w:r>
    </w:p>
    <w:tbl>
      <w:tblPr>
        <w:tblStyle w:val="3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648"/>
        <w:gridCol w:w="2083"/>
        <w:gridCol w:w="2289"/>
        <w:gridCol w:w="1050"/>
        <w:gridCol w:w="9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913"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序号</w:t>
            </w:r>
          </w:p>
        </w:tc>
        <w:tc>
          <w:tcPr>
            <w:tcW w:w="1648"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货物名称</w:t>
            </w:r>
          </w:p>
        </w:tc>
        <w:tc>
          <w:tcPr>
            <w:tcW w:w="2083"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招标文件采购需求规格</w:t>
            </w:r>
          </w:p>
        </w:tc>
        <w:tc>
          <w:tcPr>
            <w:tcW w:w="2289"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投标规格</w:t>
            </w:r>
          </w:p>
        </w:tc>
        <w:tc>
          <w:tcPr>
            <w:tcW w:w="1050"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偏离</w:t>
            </w:r>
          </w:p>
        </w:tc>
        <w:tc>
          <w:tcPr>
            <w:tcW w:w="945"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13" w:type="dxa"/>
          </w:tcPr>
          <w:p>
            <w:pPr>
              <w:spacing w:line="360" w:lineRule="auto"/>
              <w:rPr>
                <w:rFonts w:ascii="仿宋" w:hAnsi="仿宋" w:eastAsia="仿宋" w:cs="仿宋"/>
                <w:szCs w:val="21"/>
              </w:rPr>
            </w:pPr>
          </w:p>
        </w:tc>
        <w:tc>
          <w:tcPr>
            <w:tcW w:w="1648" w:type="dxa"/>
          </w:tcPr>
          <w:p>
            <w:pPr>
              <w:spacing w:line="360" w:lineRule="auto"/>
              <w:rPr>
                <w:rFonts w:ascii="仿宋" w:hAnsi="仿宋" w:eastAsia="仿宋" w:cs="仿宋"/>
                <w:szCs w:val="21"/>
              </w:rPr>
            </w:pPr>
          </w:p>
        </w:tc>
        <w:tc>
          <w:tcPr>
            <w:tcW w:w="2083" w:type="dxa"/>
          </w:tcPr>
          <w:p>
            <w:pPr>
              <w:spacing w:line="360" w:lineRule="auto"/>
              <w:rPr>
                <w:rFonts w:ascii="仿宋" w:hAnsi="仿宋" w:eastAsia="仿宋" w:cs="仿宋"/>
                <w:szCs w:val="21"/>
              </w:rPr>
            </w:pPr>
          </w:p>
        </w:tc>
        <w:tc>
          <w:tcPr>
            <w:tcW w:w="2289" w:type="dxa"/>
          </w:tcPr>
          <w:p>
            <w:pPr>
              <w:spacing w:line="360" w:lineRule="auto"/>
              <w:rPr>
                <w:rFonts w:ascii="仿宋" w:hAnsi="仿宋" w:eastAsia="仿宋" w:cs="仿宋"/>
                <w:szCs w:val="21"/>
              </w:rPr>
            </w:pPr>
          </w:p>
        </w:tc>
        <w:tc>
          <w:tcPr>
            <w:tcW w:w="1050" w:type="dxa"/>
          </w:tcPr>
          <w:p>
            <w:pPr>
              <w:spacing w:line="360" w:lineRule="auto"/>
              <w:rPr>
                <w:rFonts w:ascii="仿宋" w:hAnsi="仿宋" w:eastAsia="仿宋" w:cs="仿宋"/>
                <w:szCs w:val="21"/>
              </w:rPr>
            </w:pPr>
          </w:p>
        </w:tc>
        <w:tc>
          <w:tcPr>
            <w:tcW w:w="945" w:type="dxa"/>
          </w:tcPr>
          <w:p>
            <w:pPr>
              <w:spacing w:line="360" w:lineRule="auto"/>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13" w:type="dxa"/>
          </w:tcPr>
          <w:p>
            <w:pPr>
              <w:spacing w:line="360" w:lineRule="auto"/>
              <w:rPr>
                <w:rFonts w:ascii="仿宋" w:hAnsi="仿宋" w:eastAsia="仿宋" w:cs="仿宋"/>
                <w:szCs w:val="21"/>
              </w:rPr>
            </w:pPr>
          </w:p>
        </w:tc>
        <w:tc>
          <w:tcPr>
            <w:tcW w:w="1648" w:type="dxa"/>
          </w:tcPr>
          <w:p>
            <w:pPr>
              <w:spacing w:line="360" w:lineRule="auto"/>
              <w:rPr>
                <w:rFonts w:ascii="仿宋" w:hAnsi="仿宋" w:eastAsia="仿宋" w:cs="仿宋"/>
                <w:szCs w:val="21"/>
              </w:rPr>
            </w:pPr>
          </w:p>
        </w:tc>
        <w:tc>
          <w:tcPr>
            <w:tcW w:w="2083" w:type="dxa"/>
          </w:tcPr>
          <w:p>
            <w:pPr>
              <w:spacing w:line="360" w:lineRule="auto"/>
              <w:rPr>
                <w:rFonts w:ascii="仿宋" w:hAnsi="仿宋" w:eastAsia="仿宋" w:cs="仿宋"/>
                <w:szCs w:val="21"/>
              </w:rPr>
            </w:pPr>
          </w:p>
        </w:tc>
        <w:tc>
          <w:tcPr>
            <w:tcW w:w="2289" w:type="dxa"/>
          </w:tcPr>
          <w:p>
            <w:pPr>
              <w:spacing w:line="360" w:lineRule="auto"/>
              <w:rPr>
                <w:rFonts w:ascii="仿宋" w:hAnsi="仿宋" w:eastAsia="仿宋" w:cs="仿宋"/>
                <w:szCs w:val="21"/>
              </w:rPr>
            </w:pPr>
          </w:p>
        </w:tc>
        <w:tc>
          <w:tcPr>
            <w:tcW w:w="1050" w:type="dxa"/>
          </w:tcPr>
          <w:p>
            <w:pPr>
              <w:spacing w:line="360" w:lineRule="auto"/>
              <w:rPr>
                <w:rFonts w:ascii="仿宋" w:hAnsi="仿宋" w:eastAsia="仿宋" w:cs="仿宋"/>
                <w:szCs w:val="21"/>
              </w:rPr>
            </w:pPr>
          </w:p>
        </w:tc>
        <w:tc>
          <w:tcPr>
            <w:tcW w:w="945" w:type="dxa"/>
          </w:tcPr>
          <w:p>
            <w:pPr>
              <w:spacing w:line="360" w:lineRule="auto"/>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13" w:type="dxa"/>
          </w:tcPr>
          <w:p>
            <w:pPr>
              <w:spacing w:line="360" w:lineRule="auto"/>
              <w:rPr>
                <w:rFonts w:ascii="仿宋" w:hAnsi="仿宋" w:eastAsia="仿宋" w:cs="仿宋"/>
                <w:szCs w:val="21"/>
              </w:rPr>
            </w:pPr>
          </w:p>
        </w:tc>
        <w:tc>
          <w:tcPr>
            <w:tcW w:w="1648" w:type="dxa"/>
          </w:tcPr>
          <w:p>
            <w:pPr>
              <w:spacing w:line="360" w:lineRule="auto"/>
              <w:rPr>
                <w:rFonts w:ascii="仿宋" w:hAnsi="仿宋" w:eastAsia="仿宋" w:cs="仿宋"/>
                <w:szCs w:val="21"/>
              </w:rPr>
            </w:pPr>
          </w:p>
        </w:tc>
        <w:tc>
          <w:tcPr>
            <w:tcW w:w="2083" w:type="dxa"/>
          </w:tcPr>
          <w:p>
            <w:pPr>
              <w:spacing w:line="360" w:lineRule="auto"/>
              <w:rPr>
                <w:rFonts w:ascii="仿宋" w:hAnsi="仿宋" w:eastAsia="仿宋" w:cs="仿宋"/>
                <w:szCs w:val="21"/>
              </w:rPr>
            </w:pPr>
          </w:p>
        </w:tc>
        <w:tc>
          <w:tcPr>
            <w:tcW w:w="2289" w:type="dxa"/>
          </w:tcPr>
          <w:p>
            <w:pPr>
              <w:spacing w:line="360" w:lineRule="auto"/>
              <w:rPr>
                <w:rFonts w:ascii="仿宋" w:hAnsi="仿宋" w:eastAsia="仿宋" w:cs="仿宋"/>
                <w:szCs w:val="21"/>
              </w:rPr>
            </w:pPr>
          </w:p>
        </w:tc>
        <w:tc>
          <w:tcPr>
            <w:tcW w:w="1050" w:type="dxa"/>
          </w:tcPr>
          <w:p>
            <w:pPr>
              <w:spacing w:line="360" w:lineRule="auto"/>
              <w:rPr>
                <w:rFonts w:ascii="仿宋" w:hAnsi="仿宋" w:eastAsia="仿宋" w:cs="仿宋"/>
                <w:szCs w:val="21"/>
              </w:rPr>
            </w:pPr>
          </w:p>
        </w:tc>
        <w:tc>
          <w:tcPr>
            <w:tcW w:w="945" w:type="dxa"/>
          </w:tcPr>
          <w:p>
            <w:pPr>
              <w:spacing w:line="360" w:lineRule="auto"/>
              <w:rPr>
                <w:rFonts w:ascii="仿宋" w:hAnsi="仿宋" w:eastAsia="仿宋" w:cs="仿宋"/>
                <w:szCs w:val="21"/>
              </w:rPr>
            </w:pPr>
          </w:p>
        </w:tc>
      </w:tr>
    </w:tbl>
    <w:p>
      <w:pPr>
        <w:spacing w:line="360" w:lineRule="auto"/>
        <w:rPr>
          <w:rFonts w:ascii="仿宋" w:hAnsi="仿宋" w:eastAsia="仿宋" w:cs="仿宋"/>
          <w:szCs w:val="21"/>
        </w:rPr>
      </w:pPr>
      <w:r>
        <w:rPr>
          <w:rFonts w:hint="eastAsia" w:ascii="仿宋" w:hAnsi="仿宋" w:eastAsia="仿宋" w:cs="仿宋"/>
          <w:szCs w:val="21"/>
        </w:rPr>
        <w:t>投标人名称（盖章）：</w:t>
      </w:r>
      <w:r>
        <w:rPr>
          <w:rFonts w:hint="eastAsia" w:ascii="仿宋" w:hAnsi="仿宋" w:eastAsia="仿宋" w:cs="仿宋"/>
          <w:szCs w:val="21"/>
          <w:u w:val="single"/>
        </w:rPr>
        <w:t xml:space="preserve">                             </w:t>
      </w:r>
    </w:p>
    <w:p>
      <w:pPr>
        <w:spacing w:line="360" w:lineRule="auto"/>
        <w:rPr>
          <w:rFonts w:ascii="仿宋" w:hAnsi="仿宋" w:eastAsia="仿宋" w:cs="仿宋"/>
          <w:szCs w:val="21"/>
          <w:u w:val="single"/>
        </w:rPr>
      </w:pPr>
      <w:r>
        <w:rPr>
          <w:rFonts w:hint="eastAsia" w:ascii="仿宋" w:hAnsi="仿宋" w:eastAsia="仿宋" w:cs="仿宋"/>
          <w:bCs/>
          <w:kern w:val="0"/>
          <w:szCs w:val="21"/>
        </w:rPr>
        <w:t>法定代表人或其授权委托代理人</w:t>
      </w:r>
      <w:r>
        <w:rPr>
          <w:rFonts w:hint="eastAsia" w:ascii="仿宋" w:hAnsi="仿宋" w:eastAsia="仿宋" w:cs="仿宋"/>
          <w:szCs w:val="21"/>
        </w:rPr>
        <w:t>（</w:t>
      </w:r>
      <w:r>
        <w:rPr>
          <w:rFonts w:hint="eastAsia" w:ascii="仿宋" w:hAnsi="仿宋" w:eastAsia="仿宋" w:cs="仿宋"/>
          <w:bCs/>
          <w:kern w:val="0"/>
          <w:szCs w:val="21"/>
        </w:rPr>
        <w:t>盖章或签字</w:t>
      </w:r>
      <w:r>
        <w:rPr>
          <w:rFonts w:hint="eastAsia" w:ascii="仿宋" w:hAnsi="仿宋" w:eastAsia="仿宋" w:cs="仿宋"/>
          <w:szCs w:val="21"/>
        </w:rPr>
        <w:t>)：</w:t>
      </w:r>
      <w:r>
        <w:rPr>
          <w:rFonts w:hint="eastAsia" w:ascii="仿宋" w:hAnsi="仿宋" w:eastAsia="仿宋" w:cs="仿宋"/>
          <w:szCs w:val="21"/>
          <w:u w:val="single"/>
        </w:rPr>
        <w:t xml:space="preserve">      </w:t>
      </w:r>
    </w:p>
    <w:p>
      <w:pPr>
        <w:spacing w:line="360" w:lineRule="auto"/>
        <w:rPr>
          <w:rFonts w:ascii="仿宋" w:hAnsi="仿宋" w:eastAsia="仿宋" w:cs="仿宋"/>
          <w:szCs w:val="21"/>
          <w:u w:val="single"/>
        </w:rPr>
      </w:pPr>
      <w:r>
        <w:rPr>
          <w:rFonts w:hint="eastAsia" w:ascii="仿宋" w:hAnsi="仿宋" w:eastAsia="仿宋" w:cs="仿宋"/>
          <w:szCs w:val="21"/>
          <w:u w:val="single"/>
        </w:rPr>
        <w:t xml:space="preserve">               </w:t>
      </w:r>
    </w:p>
    <w:p>
      <w:pPr>
        <w:pageBreakBefore/>
        <w:spacing w:line="360" w:lineRule="auto"/>
        <w:rPr>
          <w:rFonts w:ascii="仿宋" w:hAnsi="仿宋" w:eastAsia="仿宋" w:cs="仿宋"/>
          <w:b/>
          <w:bCs/>
          <w:szCs w:val="21"/>
        </w:rPr>
      </w:pPr>
      <w:r>
        <w:rPr>
          <w:rFonts w:hint="eastAsia" w:ascii="仿宋" w:hAnsi="仿宋" w:eastAsia="仿宋" w:cs="仿宋"/>
          <w:b/>
          <w:bCs/>
          <w:szCs w:val="21"/>
          <w:lang w:val="en-US" w:eastAsia="zh-CN"/>
        </w:rPr>
        <w:t>3</w:t>
      </w:r>
      <w:r>
        <w:rPr>
          <w:rFonts w:hint="eastAsia" w:ascii="仿宋" w:hAnsi="仿宋" w:eastAsia="仿宋" w:cs="仿宋"/>
          <w:b/>
          <w:bCs/>
          <w:szCs w:val="21"/>
        </w:rPr>
        <w:t>、商务条款偏离表格式</w:t>
      </w:r>
    </w:p>
    <w:p>
      <w:pPr>
        <w:spacing w:line="360" w:lineRule="auto"/>
        <w:jc w:val="center"/>
        <w:rPr>
          <w:rFonts w:ascii="仿宋" w:hAnsi="仿宋" w:eastAsia="仿宋" w:cs="仿宋"/>
          <w:b/>
          <w:bCs/>
          <w:szCs w:val="21"/>
        </w:rPr>
      </w:pPr>
      <w:r>
        <w:rPr>
          <w:rFonts w:hint="eastAsia" w:ascii="仿宋" w:hAnsi="仿宋" w:eastAsia="仿宋" w:cs="仿宋"/>
          <w:b/>
          <w:bCs/>
          <w:szCs w:val="21"/>
        </w:rPr>
        <w:t>商务条款偏离表</w:t>
      </w:r>
    </w:p>
    <w:p>
      <w:pPr>
        <w:spacing w:line="360" w:lineRule="auto"/>
        <w:rPr>
          <w:rFonts w:ascii="仿宋" w:hAnsi="仿宋" w:eastAsia="仿宋" w:cs="仿宋"/>
          <w:szCs w:val="21"/>
        </w:rPr>
      </w:pPr>
      <w:r>
        <w:rPr>
          <w:rFonts w:hint="eastAsia" w:ascii="仿宋" w:hAnsi="仿宋" w:eastAsia="仿宋" w:cs="仿宋"/>
          <w:szCs w:val="21"/>
        </w:rPr>
        <w:t>投标人名称：                                         项目编号：</w:t>
      </w:r>
    </w:p>
    <w:tbl>
      <w:tblPr>
        <w:tblStyle w:val="3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3"/>
        <w:gridCol w:w="2183"/>
        <w:gridCol w:w="2262"/>
        <w:gridCol w:w="2625"/>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913"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序号</w:t>
            </w:r>
          </w:p>
        </w:tc>
        <w:tc>
          <w:tcPr>
            <w:tcW w:w="2183"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招标文件条款号</w:t>
            </w:r>
          </w:p>
        </w:tc>
        <w:tc>
          <w:tcPr>
            <w:tcW w:w="2262"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招标文件的商务条款</w:t>
            </w:r>
          </w:p>
        </w:tc>
        <w:tc>
          <w:tcPr>
            <w:tcW w:w="2625"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投标文件的商务条款</w:t>
            </w:r>
          </w:p>
        </w:tc>
        <w:tc>
          <w:tcPr>
            <w:tcW w:w="1260"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13" w:type="dxa"/>
          </w:tcPr>
          <w:p>
            <w:pPr>
              <w:spacing w:line="360" w:lineRule="auto"/>
              <w:rPr>
                <w:rFonts w:ascii="仿宋" w:hAnsi="仿宋" w:eastAsia="仿宋" w:cs="仿宋"/>
                <w:szCs w:val="21"/>
              </w:rPr>
            </w:pPr>
          </w:p>
        </w:tc>
        <w:tc>
          <w:tcPr>
            <w:tcW w:w="2183" w:type="dxa"/>
          </w:tcPr>
          <w:p>
            <w:pPr>
              <w:spacing w:line="360" w:lineRule="auto"/>
              <w:rPr>
                <w:rFonts w:ascii="仿宋" w:hAnsi="仿宋" w:eastAsia="仿宋" w:cs="仿宋"/>
                <w:szCs w:val="21"/>
              </w:rPr>
            </w:pPr>
          </w:p>
        </w:tc>
        <w:tc>
          <w:tcPr>
            <w:tcW w:w="2262" w:type="dxa"/>
          </w:tcPr>
          <w:p>
            <w:pPr>
              <w:spacing w:line="360" w:lineRule="auto"/>
              <w:rPr>
                <w:rFonts w:ascii="仿宋" w:hAnsi="仿宋" w:eastAsia="仿宋" w:cs="仿宋"/>
                <w:szCs w:val="21"/>
              </w:rPr>
            </w:pPr>
          </w:p>
        </w:tc>
        <w:tc>
          <w:tcPr>
            <w:tcW w:w="2625" w:type="dxa"/>
          </w:tcPr>
          <w:p>
            <w:pPr>
              <w:spacing w:line="360" w:lineRule="auto"/>
              <w:rPr>
                <w:rFonts w:ascii="仿宋" w:hAnsi="仿宋" w:eastAsia="仿宋" w:cs="仿宋"/>
                <w:szCs w:val="21"/>
              </w:rPr>
            </w:pPr>
          </w:p>
        </w:tc>
        <w:tc>
          <w:tcPr>
            <w:tcW w:w="1260" w:type="dxa"/>
          </w:tcPr>
          <w:p>
            <w:pPr>
              <w:spacing w:line="360" w:lineRule="auto"/>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13" w:type="dxa"/>
          </w:tcPr>
          <w:p>
            <w:pPr>
              <w:spacing w:line="360" w:lineRule="auto"/>
              <w:rPr>
                <w:rFonts w:ascii="仿宋" w:hAnsi="仿宋" w:eastAsia="仿宋" w:cs="仿宋"/>
                <w:szCs w:val="21"/>
              </w:rPr>
            </w:pPr>
          </w:p>
        </w:tc>
        <w:tc>
          <w:tcPr>
            <w:tcW w:w="2183" w:type="dxa"/>
          </w:tcPr>
          <w:p>
            <w:pPr>
              <w:spacing w:line="360" w:lineRule="auto"/>
              <w:rPr>
                <w:rFonts w:ascii="仿宋" w:hAnsi="仿宋" w:eastAsia="仿宋" w:cs="仿宋"/>
                <w:szCs w:val="21"/>
              </w:rPr>
            </w:pPr>
          </w:p>
        </w:tc>
        <w:tc>
          <w:tcPr>
            <w:tcW w:w="2262" w:type="dxa"/>
          </w:tcPr>
          <w:p>
            <w:pPr>
              <w:spacing w:line="360" w:lineRule="auto"/>
              <w:rPr>
                <w:rFonts w:ascii="仿宋" w:hAnsi="仿宋" w:eastAsia="仿宋" w:cs="仿宋"/>
                <w:szCs w:val="21"/>
              </w:rPr>
            </w:pPr>
          </w:p>
        </w:tc>
        <w:tc>
          <w:tcPr>
            <w:tcW w:w="2625" w:type="dxa"/>
          </w:tcPr>
          <w:p>
            <w:pPr>
              <w:spacing w:line="360" w:lineRule="auto"/>
              <w:rPr>
                <w:rFonts w:ascii="仿宋" w:hAnsi="仿宋" w:eastAsia="仿宋" w:cs="仿宋"/>
                <w:szCs w:val="21"/>
              </w:rPr>
            </w:pPr>
          </w:p>
        </w:tc>
        <w:tc>
          <w:tcPr>
            <w:tcW w:w="1260" w:type="dxa"/>
          </w:tcPr>
          <w:p>
            <w:pPr>
              <w:spacing w:line="360" w:lineRule="auto"/>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13" w:type="dxa"/>
          </w:tcPr>
          <w:p>
            <w:pPr>
              <w:spacing w:line="360" w:lineRule="auto"/>
              <w:rPr>
                <w:rFonts w:ascii="仿宋" w:hAnsi="仿宋" w:eastAsia="仿宋" w:cs="仿宋"/>
                <w:szCs w:val="21"/>
              </w:rPr>
            </w:pPr>
          </w:p>
        </w:tc>
        <w:tc>
          <w:tcPr>
            <w:tcW w:w="2183" w:type="dxa"/>
          </w:tcPr>
          <w:p>
            <w:pPr>
              <w:spacing w:line="360" w:lineRule="auto"/>
              <w:rPr>
                <w:rFonts w:ascii="仿宋" w:hAnsi="仿宋" w:eastAsia="仿宋" w:cs="仿宋"/>
                <w:szCs w:val="21"/>
              </w:rPr>
            </w:pPr>
          </w:p>
        </w:tc>
        <w:tc>
          <w:tcPr>
            <w:tcW w:w="2262" w:type="dxa"/>
          </w:tcPr>
          <w:p>
            <w:pPr>
              <w:spacing w:line="360" w:lineRule="auto"/>
              <w:rPr>
                <w:rFonts w:ascii="仿宋" w:hAnsi="仿宋" w:eastAsia="仿宋" w:cs="仿宋"/>
                <w:szCs w:val="21"/>
              </w:rPr>
            </w:pPr>
          </w:p>
        </w:tc>
        <w:tc>
          <w:tcPr>
            <w:tcW w:w="2625" w:type="dxa"/>
          </w:tcPr>
          <w:p>
            <w:pPr>
              <w:spacing w:line="360" w:lineRule="auto"/>
              <w:rPr>
                <w:rFonts w:ascii="仿宋" w:hAnsi="仿宋" w:eastAsia="仿宋" w:cs="仿宋"/>
                <w:szCs w:val="21"/>
              </w:rPr>
            </w:pPr>
          </w:p>
        </w:tc>
        <w:tc>
          <w:tcPr>
            <w:tcW w:w="1260" w:type="dxa"/>
          </w:tcPr>
          <w:p>
            <w:pPr>
              <w:spacing w:line="360" w:lineRule="auto"/>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30" w:hRule="atLeast"/>
        </w:trPr>
        <w:tc>
          <w:tcPr>
            <w:tcW w:w="913" w:type="dxa"/>
          </w:tcPr>
          <w:p>
            <w:pPr>
              <w:spacing w:line="360" w:lineRule="auto"/>
              <w:rPr>
                <w:rFonts w:ascii="仿宋" w:hAnsi="仿宋" w:eastAsia="仿宋" w:cs="仿宋"/>
                <w:szCs w:val="21"/>
              </w:rPr>
            </w:pPr>
          </w:p>
        </w:tc>
        <w:tc>
          <w:tcPr>
            <w:tcW w:w="2183" w:type="dxa"/>
          </w:tcPr>
          <w:p>
            <w:pPr>
              <w:spacing w:line="360" w:lineRule="auto"/>
              <w:rPr>
                <w:rFonts w:ascii="仿宋" w:hAnsi="仿宋" w:eastAsia="仿宋" w:cs="仿宋"/>
                <w:szCs w:val="21"/>
              </w:rPr>
            </w:pPr>
          </w:p>
        </w:tc>
        <w:tc>
          <w:tcPr>
            <w:tcW w:w="2262" w:type="dxa"/>
          </w:tcPr>
          <w:p>
            <w:pPr>
              <w:spacing w:line="360" w:lineRule="auto"/>
              <w:rPr>
                <w:rFonts w:ascii="仿宋" w:hAnsi="仿宋" w:eastAsia="仿宋" w:cs="仿宋"/>
                <w:szCs w:val="21"/>
              </w:rPr>
            </w:pPr>
          </w:p>
        </w:tc>
        <w:tc>
          <w:tcPr>
            <w:tcW w:w="2625" w:type="dxa"/>
          </w:tcPr>
          <w:p>
            <w:pPr>
              <w:spacing w:line="360" w:lineRule="auto"/>
              <w:rPr>
                <w:rFonts w:ascii="仿宋" w:hAnsi="仿宋" w:eastAsia="仿宋" w:cs="仿宋"/>
                <w:szCs w:val="21"/>
              </w:rPr>
            </w:pPr>
          </w:p>
        </w:tc>
        <w:tc>
          <w:tcPr>
            <w:tcW w:w="1260" w:type="dxa"/>
          </w:tcPr>
          <w:p>
            <w:pPr>
              <w:spacing w:line="360" w:lineRule="auto"/>
              <w:rPr>
                <w:rFonts w:ascii="仿宋" w:hAnsi="仿宋" w:eastAsia="仿宋" w:cs="仿宋"/>
                <w:szCs w:val="21"/>
              </w:rPr>
            </w:pPr>
          </w:p>
        </w:tc>
      </w:tr>
    </w:tbl>
    <w:p>
      <w:pPr>
        <w:spacing w:line="360" w:lineRule="auto"/>
        <w:rPr>
          <w:rFonts w:ascii="仿宋" w:hAnsi="仿宋" w:eastAsia="仿宋" w:cs="仿宋"/>
          <w:szCs w:val="21"/>
        </w:rPr>
      </w:pPr>
    </w:p>
    <w:p>
      <w:pPr>
        <w:spacing w:line="360" w:lineRule="auto"/>
        <w:rPr>
          <w:rFonts w:ascii="仿宋" w:hAnsi="仿宋" w:eastAsia="仿宋" w:cs="仿宋"/>
          <w:szCs w:val="21"/>
        </w:rPr>
      </w:pPr>
      <w:bookmarkStart w:id="148" w:name="_Toc47418937"/>
      <w:bookmarkStart w:id="149" w:name="_Toc47261689"/>
      <w:bookmarkStart w:id="150" w:name="_Toc47262068"/>
      <w:bookmarkStart w:id="151" w:name="_Toc49019235"/>
      <w:bookmarkStart w:id="152" w:name="_Toc88466047"/>
      <w:bookmarkStart w:id="153" w:name="_Toc48791234"/>
      <w:bookmarkStart w:id="154" w:name="_Toc47418254"/>
      <w:bookmarkStart w:id="155" w:name="_Toc47261884"/>
      <w:bookmarkStart w:id="156" w:name="_Toc47418730"/>
      <w:bookmarkStart w:id="157" w:name="_Toc48995850"/>
      <w:r>
        <w:rPr>
          <w:rFonts w:hint="eastAsia" w:ascii="仿宋" w:hAnsi="仿宋" w:eastAsia="仿宋" w:cs="仿宋"/>
          <w:szCs w:val="21"/>
        </w:rPr>
        <w:t>投标人名称（盖章）：</w:t>
      </w:r>
      <w:r>
        <w:rPr>
          <w:rFonts w:hint="eastAsia" w:ascii="仿宋" w:hAnsi="仿宋" w:eastAsia="仿宋" w:cs="仿宋"/>
          <w:szCs w:val="21"/>
          <w:u w:val="single"/>
        </w:rPr>
        <w:t xml:space="preserve">                             </w:t>
      </w:r>
    </w:p>
    <w:p>
      <w:pPr>
        <w:spacing w:line="360" w:lineRule="auto"/>
        <w:rPr>
          <w:rFonts w:ascii="仿宋" w:hAnsi="仿宋" w:eastAsia="仿宋" w:cs="仿宋"/>
          <w:szCs w:val="21"/>
          <w:u w:val="single"/>
        </w:rPr>
      </w:pPr>
      <w:r>
        <w:rPr>
          <w:rFonts w:hint="eastAsia" w:ascii="仿宋" w:hAnsi="仿宋" w:eastAsia="仿宋" w:cs="仿宋"/>
          <w:bCs/>
          <w:kern w:val="0"/>
          <w:szCs w:val="21"/>
        </w:rPr>
        <w:t>法定代表人或其授权委托代理人</w:t>
      </w:r>
      <w:r>
        <w:rPr>
          <w:rFonts w:hint="eastAsia" w:ascii="仿宋" w:hAnsi="仿宋" w:eastAsia="仿宋" w:cs="仿宋"/>
          <w:szCs w:val="21"/>
        </w:rPr>
        <w:t>（</w:t>
      </w:r>
      <w:r>
        <w:rPr>
          <w:rFonts w:hint="eastAsia" w:ascii="仿宋" w:hAnsi="仿宋" w:eastAsia="仿宋" w:cs="仿宋"/>
          <w:bCs/>
          <w:kern w:val="0"/>
          <w:szCs w:val="21"/>
        </w:rPr>
        <w:t>盖章或签字</w:t>
      </w:r>
      <w:r>
        <w:rPr>
          <w:rFonts w:hint="eastAsia" w:ascii="仿宋" w:hAnsi="仿宋" w:eastAsia="仿宋" w:cs="仿宋"/>
          <w:szCs w:val="21"/>
        </w:rPr>
        <w:t>)：</w:t>
      </w:r>
      <w:r>
        <w:rPr>
          <w:rFonts w:hint="eastAsia" w:ascii="仿宋" w:hAnsi="仿宋" w:eastAsia="仿宋" w:cs="仿宋"/>
          <w:szCs w:val="21"/>
          <w:u w:val="single"/>
        </w:rPr>
        <w:t xml:space="preserve">    </w:t>
      </w: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pStyle w:val="2"/>
      </w:pPr>
    </w:p>
    <w:p>
      <w:pPr>
        <w:pStyle w:val="2"/>
      </w:pPr>
    </w:p>
    <w:p>
      <w:pPr>
        <w:widowControl/>
        <w:spacing w:line="360" w:lineRule="atLeast"/>
        <w:jc w:val="center"/>
        <w:rPr>
          <w:rFonts w:ascii="楷体" w:hAnsi="楷体" w:eastAsia="楷体"/>
          <w:b/>
          <w:color w:val="FF0000"/>
          <w:sz w:val="32"/>
          <w:szCs w:val="32"/>
        </w:rPr>
      </w:pPr>
    </w:p>
    <w:p>
      <w:pPr>
        <w:pageBreakBefore/>
        <w:spacing w:line="360" w:lineRule="auto"/>
        <w:jc w:val="center"/>
        <w:rPr>
          <w:rFonts w:ascii="仿宋" w:hAnsi="仿宋" w:eastAsia="仿宋" w:cs="仿宋"/>
          <w:b/>
          <w:bCs/>
          <w:szCs w:val="21"/>
        </w:rPr>
      </w:pPr>
      <w:r>
        <w:rPr>
          <w:rFonts w:hint="eastAsia" w:ascii="仿宋" w:hAnsi="仿宋" w:eastAsia="仿宋" w:cs="仿宋"/>
          <w:b/>
          <w:bCs/>
          <w:szCs w:val="21"/>
          <w:lang w:val="en-US" w:eastAsia="zh-CN"/>
        </w:rPr>
        <w:t>4</w:t>
      </w:r>
      <w:r>
        <w:rPr>
          <w:rFonts w:hint="eastAsia" w:ascii="仿宋" w:hAnsi="仿宋" w:eastAsia="仿宋" w:cs="仿宋"/>
          <w:b/>
          <w:bCs/>
          <w:szCs w:val="21"/>
        </w:rPr>
        <w:t>、供应商基本情况表</w:t>
      </w:r>
    </w:p>
    <w:tbl>
      <w:tblPr>
        <w:tblStyle w:val="30"/>
        <w:tblW w:w="9192"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3"/>
        <w:gridCol w:w="1071"/>
        <w:gridCol w:w="1386"/>
        <w:gridCol w:w="1395"/>
        <w:gridCol w:w="1477"/>
        <w:gridCol w:w="951"/>
        <w:gridCol w:w="120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供应商名称</w:t>
            </w:r>
          </w:p>
        </w:tc>
        <w:tc>
          <w:tcPr>
            <w:tcW w:w="7489" w:type="dxa"/>
            <w:gridSpan w:val="6"/>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注册地址</w:t>
            </w:r>
          </w:p>
        </w:tc>
        <w:tc>
          <w:tcPr>
            <w:tcW w:w="3852" w:type="dxa"/>
            <w:gridSpan w:val="3"/>
            <w:vAlign w:val="center"/>
          </w:tcPr>
          <w:p>
            <w:pPr>
              <w:widowControl/>
              <w:spacing w:line="360" w:lineRule="atLeast"/>
              <w:ind w:firstLine="470" w:firstLineChars="196"/>
              <w:jc w:val="center"/>
              <w:rPr>
                <w:rFonts w:ascii="楷体" w:hAnsi="楷体" w:eastAsia="楷体"/>
                <w:sz w:val="24"/>
              </w:rPr>
            </w:pPr>
          </w:p>
        </w:tc>
        <w:tc>
          <w:tcPr>
            <w:tcW w:w="1477" w:type="dxa"/>
            <w:vAlign w:val="center"/>
          </w:tcPr>
          <w:p>
            <w:pPr>
              <w:widowControl/>
              <w:spacing w:line="360" w:lineRule="atLeast"/>
              <w:jc w:val="center"/>
              <w:rPr>
                <w:rFonts w:ascii="楷体" w:hAnsi="楷体" w:eastAsia="楷体"/>
                <w:sz w:val="24"/>
              </w:rPr>
            </w:pPr>
            <w:r>
              <w:rPr>
                <w:rFonts w:hint="eastAsia" w:ascii="楷体" w:hAnsi="楷体" w:eastAsia="楷体"/>
                <w:sz w:val="24"/>
              </w:rPr>
              <w:t>邮政编码</w:t>
            </w:r>
          </w:p>
        </w:tc>
        <w:tc>
          <w:tcPr>
            <w:tcW w:w="2160" w:type="dxa"/>
            <w:gridSpan w:val="2"/>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1" w:hRule="atLeast"/>
        </w:trPr>
        <w:tc>
          <w:tcPr>
            <w:tcW w:w="1703" w:type="dxa"/>
            <w:vMerge w:val="restart"/>
            <w:vAlign w:val="center"/>
          </w:tcPr>
          <w:p>
            <w:pPr>
              <w:widowControl/>
              <w:spacing w:line="360" w:lineRule="atLeast"/>
              <w:jc w:val="center"/>
              <w:rPr>
                <w:rFonts w:ascii="楷体" w:hAnsi="楷体" w:eastAsia="楷体"/>
                <w:sz w:val="24"/>
              </w:rPr>
            </w:pPr>
            <w:r>
              <w:rPr>
                <w:rFonts w:hint="eastAsia" w:ascii="楷体" w:hAnsi="楷体" w:eastAsia="楷体"/>
                <w:sz w:val="24"/>
              </w:rPr>
              <w:t>联系方式</w:t>
            </w:r>
          </w:p>
        </w:tc>
        <w:tc>
          <w:tcPr>
            <w:tcW w:w="1071" w:type="dxa"/>
            <w:vAlign w:val="center"/>
          </w:tcPr>
          <w:p>
            <w:pPr>
              <w:widowControl/>
              <w:spacing w:line="360" w:lineRule="atLeast"/>
              <w:jc w:val="center"/>
              <w:rPr>
                <w:rFonts w:ascii="楷体" w:hAnsi="楷体" w:eastAsia="楷体"/>
                <w:sz w:val="24"/>
              </w:rPr>
            </w:pPr>
            <w:r>
              <w:rPr>
                <w:rFonts w:hint="eastAsia" w:ascii="楷体" w:hAnsi="楷体" w:eastAsia="楷体"/>
                <w:sz w:val="24"/>
              </w:rPr>
              <w:t>联系人</w:t>
            </w:r>
          </w:p>
        </w:tc>
        <w:tc>
          <w:tcPr>
            <w:tcW w:w="2781" w:type="dxa"/>
            <w:gridSpan w:val="2"/>
            <w:vAlign w:val="center"/>
          </w:tcPr>
          <w:p>
            <w:pPr>
              <w:widowControl/>
              <w:spacing w:line="360" w:lineRule="atLeast"/>
              <w:ind w:firstLine="470" w:firstLineChars="196"/>
              <w:jc w:val="center"/>
              <w:rPr>
                <w:rFonts w:ascii="楷体" w:hAnsi="楷体" w:eastAsia="楷体"/>
                <w:sz w:val="24"/>
              </w:rPr>
            </w:pPr>
          </w:p>
        </w:tc>
        <w:tc>
          <w:tcPr>
            <w:tcW w:w="1477" w:type="dxa"/>
            <w:vAlign w:val="center"/>
          </w:tcPr>
          <w:p>
            <w:pPr>
              <w:widowControl/>
              <w:spacing w:line="360" w:lineRule="atLeast"/>
              <w:jc w:val="center"/>
              <w:rPr>
                <w:rFonts w:ascii="楷体" w:hAnsi="楷体" w:eastAsia="楷体"/>
                <w:sz w:val="24"/>
              </w:rPr>
            </w:pPr>
            <w:r>
              <w:rPr>
                <w:rFonts w:hint="eastAsia" w:ascii="楷体" w:hAnsi="楷体" w:eastAsia="楷体"/>
                <w:sz w:val="24"/>
              </w:rPr>
              <w:t>电话</w:t>
            </w:r>
          </w:p>
        </w:tc>
        <w:tc>
          <w:tcPr>
            <w:tcW w:w="2160" w:type="dxa"/>
            <w:gridSpan w:val="2"/>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703" w:type="dxa"/>
            <w:vMerge w:val="continue"/>
            <w:vAlign w:val="center"/>
          </w:tcPr>
          <w:p>
            <w:pPr>
              <w:jc w:val="center"/>
              <w:rPr>
                <w:rFonts w:ascii="楷体" w:hAnsi="楷体" w:eastAsia="楷体"/>
              </w:rPr>
            </w:pPr>
          </w:p>
        </w:tc>
        <w:tc>
          <w:tcPr>
            <w:tcW w:w="1071" w:type="dxa"/>
            <w:vAlign w:val="center"/>
          </w:tcPr>
          <w:p>
            <w:pPr>
              <w:widowControl/>
              <w:spacing w:line="360" w:lineRule="atLeast"/>
              <w:jc w:val="center"/>
              <w:rPr>
                <w:rFonts w:ascii="楷体" w:hAnsi="楷体" w:eastAsia="楷体"/>
                <w:sz w:val="24"/>
              </w:rPr>
            </w:pPr>
            <w:r>
              <w:rPr>
                <w:rFonts w:hint="eastAsia" w:ascii="楷体" w:hAnsi="楷体" w:eastAsia="楷体"/>
                <w:sz w:val="24"/>
              </w:rPr>
              <w:t>传真</w:t>
            </w:r>
          </w:p>
        </w:tc>
        <w:tc>
          <w:tcPr>
            <w:tcW w:w="2781" w:type="dxa"/>
            <w:gridSpan w:val="2"/>
            <w:vAlign w:val="center"/>
          </w:tcPr>
          <w:p>
            <w:pPr>
              <w:widowControl/>
              <w:spacing w:line="360" w:lineRule="atLeast"/>
              <w:ind w:firstLine="470" w:firstLineChars="196"/>
              <w:jc w:val="center"/>
              <w:rPr>
                <w:rFonts w:ascii="楷体" w:hAnsi="楷体" w:eastAsia="楷体"/>
                <w:sz w:val="24"/>
              </w:rPr>
            </w:pPr>
          </w:p>
        </w:tc>
        <w:tc>
          <w:tcPr>
            <w:tcW w:w="1477" w:type="dxa"/>
            <w:vAlign w:val="center"/>
          </w:tcPr>
          <w:p>
            <w:pPr>
              <w:widowControl/>
              <w:spacing w:line="360" w:lineRule="atLeast"/>
              <w:jc w:val="center"/>
              <w:rPr>
                <w:rFonts w:ascii="楷体" w:hAnsi="楷体" w:eastAsia="楷体"/>
                <w:sz w:val="24"/>
              </w:rPr>
            </w:pPr>
            <w:r>
              <w:rPr>
                <w:rFonts w:hint="eastAsia" w:ascii="楷体" w:hAnsi="楷体" w:eastAsia="楷体"/>
                <w:sz w:val="24"/>
              </w:rPr>
              <w:t>网址</w:t>
            </w:r>
          </w:p>
        </w:tc>
        <w:tc>
          <w:tcPr>
            <w:tcW w:w="2160" w:type="dxa"/>
            <w:gridSpan w:val="2"/>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组织结构</w:t>
            </w:r>
          </w:p>
        </w:tc>
        <w:tc>
          <w:tcPr>
            <w:tcW w:w="7489" w:type="dxa"/>
            <w:gridSpan w:val="6"/>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法定代表人</w:t>
            </w:r>
          </w:p>
        </w:tc>
        <w:tc>
          <w:tcPr>
            <w:tcW w:w="1071" w:type="dxa"/>
            <w:vAlign w:val="center"/>
          </w:tcPr>
          <w:p>
            <w:pPr>
              <w:widowControl/>
              <w:spacing w:line="360" w:lineRule="atLeast"/>
              <w:jc w:val="center"/>
              <w:rPr>
                <w:rFonts w:ascii="楷体" w:hAnsi="楷体" w:eastAsia="楷体"/>
                <w:sz w:val="24"/>
              </w:rPr>
            </w:pPr>
            <w:r>
              <w:rPr>
                <w:rFonts w:hint="eastAsia" w:ascii="楷体" w:hAnsi="楷体" w:eastAsia="楷体"/>
                <w:sz w:val="24"/>
              </w:rPr>
              <w:t>姓名</w:t>
            </w:r>
          </w:p>
        </w:tc>
        <w:tc>
          <w:tcPr>
            <w:tcW w:w="1386" w:type="dxa"/>
            <w:vAlign w:val="center"/>
          </w:tcPr>
          <w:p>
            <w:pPr>
              <w:widowControl/>
              <w:spacing w:line="360" w:lineRule="atLeast"/>
              <w:ind w:firstLine="470" w:firstLineChars="196"/>
              <w:jc w:val="center"/>
              <w:rPr>
                <w:rFonts w:ascii="楷体" w:hAnsi="楷体" w:eastAsia="楷体"/>
                <w:sz w:val="24"/>
              </w:rPr>
            </w:pPr>
          </w:p>
        </w:tc>
        <w:tc>
          <w:tcPr>
            <w:tcW w:w="1395" w:type="dxa"/>
            <w:vAlign w:val="center"/>
          </w:tcPr>
          <w:p>
            <w:pPr>
              <w:widowControl/>
              <w:spacing w:line="360" w:lineRule="atLeast"/>
              <w:jc w:val="center"/>
              <w:rPr>
                <w:rFonts w:ascii="楷体" w:hAnsi="楷体" w:eastAsia="楷体"/>
                <w:sz w:val="24"/>
              </w:rPr>
            </w:pPr>
            <w:r>
              <w:rPr>
                <w:rFonts w:hint="eastAsia" w:ascii="楷体" w:hAnsi="楷体" w:eastAsia="楷体"/>
                <w:sz w:val="24"/>
              </w:rPr>
              <w:t>技术职称</w:t>
            </w:r>
          </w:p>
        </w:tc>
        <w:tc>
          <w:tcPr>
            <w:tcW w:w="1477" w:type="dxa"/>
            <w:vAlign w:val="center"/>
          </w:tcPr>
          <w:p>
            <w:pPr>
              <w:widowControl/>
              <w:spacing w:line="360" w:lineRule="atLeast"/>
              <w:ind w:firstLine="470" w:firstLineChars="196"/>
              <w:jc w:val="center"/>
              <w:rPr>
                <w:rFonts w:ascii="楷体" w:hAnsi="楷体" w:eastAsia="楷体"/>
                <w:sz w:val="24"/>
              </w:rPr>
            </w:pPr>
          </w:p>
        </w:tc>
        <w:tc>
          <w:tcPr>
            <w:tcW w:w="951" w:type="dxa"/>
            <w:vAlign w:val="center"/>
          </w:tcPr>
          <w:p>
            <w:pPr>
              <w:widowControl/>
              <w:spacing w:line="360" w:lineRule="atLeast"/>
              <w:jc w:val="center"/>
              <w:rPr>
                <w:rFonts w:ascii="楷体" w:hAnsi="楷体" w:eastAsia="楷体"/>
                <w:sz w:val="24"/>
              </w:rPr>
            </w:pPr>
            <w:r>
              <w:rPr>
                <w:rFonts w:hint="eastAsia" w:ascii="楷体" w:hAnsi="楷体" w:eastAsia="楷体"/>
                <w:sz w:val="24"/>
              </w:rPr>
              <w:t>电话</w:t>
            </w:r>
          </w:p>
        </w:tc>
        <w:tc>
          <w:tcPr>
            <w:tcW w:w="1209" w:type="dxa"/>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技术负责人</w:t>
            </w:r>
          </w:p>
        </w:tc>
        <w:tc>
          <w:tcPr>
            <w:tcW w:w="1071" w:type="dxa"/>
            <w:vAlign w:val="center"/>
          </w:tcPr>
          <w:p>
            <w:pPr>
              <w:widowControl/>
              <w:spacing w:line="360" w:lineRule="atLeast"/>
              <w:jc w:val="center"/>
              <w:rPr>
                <w:rFonts w:ascii="楷体" w:hAnsi="楷体" w:eastAsia="楷体"/>
                <w:sz w:val="24"/>
              </w:rPr>
            </w:pPr>
            <w:r>
              <w:rPr>
                <w:rFonts w:hint="eastAsia" w:ascii="楷体" w:hAnsi="楷体" w:eastAsia="楷体"/>
                <w:sz w:val="24"/>
              </w:rPr>
              <w:t>姓名</w:t>
            </w:r>
          </w:p>
        </w:tc>
        <w:tc>
          <w:tcPr>
            <w:tcW w:w="1386" w:type="dxa"/>
            <w:vAlign w:val="center"/>
          </w:tcPr>
          <w:p>
            <w:pPr>
              <w:widowControl/>
              <w:spacing w:line="360" w:lineRule="atLeast"/>
              <w:ind w:firstLine="470" w:firstLineChars="196"/>
              <w:jc w:val="center"/>
              <w:rPr>
                <w:rFonts w:ascii="楷体" w:hAnsi="楷体" w:eastAsia="楷体"/>
                <w:sz w:val="24"/>
              </w:rPr>
            </w:pPr>
          </w:p>
        </w:tc>
        <w:tc>
          <w:tcPr>
            <w:tcW w:w="1395" w:type="dxa"/>
            <w:vAlign w:val="center"/>
          </w:tcPr>
          <w:p>
            <w:pPr>
              <w:widowControl/>
              <w:spacing w:line="360" w:lineRule="atLeast"/>
              <w:jc w:val="center"/>
              <w:rPr>
                <w:rFonts w:ascii="楷体" w:hAnsi="楷体" w:eastAsia="楷体"/>
                <w:sz w:val="24"/>
              </w:rPr>
            </w:pPr>
            <w:r>
              <w:rPr>
                <w:rFonts w:hint="eastAsia" w:ascii="楷体" w:hAnsi="楷体" w:eastAsia="楷体"/>
                <w:sz w:val="24"/>
              </w:rPr>
              <w:t>技术职称</w:t>
            </w:r>
          </w:p>
        </w:tc>
        <w:tc>
          <w:tcPr>
            <w:tcW w:w="1477" w:type="dxa"/>
            <w:vAlign w:val="center"/>
          </w:tcPr>
          <w:p>
            <w:pPr>
              <w:widowControl/>
              <w:spacing w:line="360" w:lineRule="atLeast"/>
              <w:ind w:firstLine="470" w:firstLineChars="196"/>
              <w:jc w:val="center"/>
              <w:rPr>
                <w:rFonts w:ascii="楷体" w:hAnsi="楷体" w:eastAsia="楷体"/>
                <w:sz w:val="24"/>
              </w:rPr>
            </w:pPr>
          </w:p>
        </w:tc>
        <w:tc>
          <w:tcPr>
            <w:tcW w:w="951" w:type="dxa"/>
            <w:vAlign w:val="center"/>
          </w:tcPr>
          <w:p>
            <w:pPr>
              <w:widowControl/>
              <w:spacing w:line="360" w:lineRule="atLeast"/>
              <w:jc w:val="center"/>
              <w:rPr>
                <w:rFonts w:ascii="楷体" w:hAnsi="楷体" w:eastAsia="楷体"/>
                <w:sz w:val="24"/>
              </w:rPr>
            </w:pPr>
            <w:r>
              <w:rPr>
                <w:rFonts w:hint="eastAsia" w:ascii="楷体" w:hAnsi="楷体" w:eastAsia="楷体"/>
                <w:sz w:val="24"/>
              </w:rPr>
              <w:t>电话</w:t>
            </w:r>
          </w:p>
        </w:tc>
        <w:tc>
          <w:tcPr>
            <w:tcW w:w="1209" w:type="dxa"/>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成立时间</w:t>
            </w:r>
          </w:p>
        </w:tc>
        <w:tc>
          <w:tcPr>
            <w:tcW w:w="2457" w:type="dxa"/>
            <w:gridSpan w:val="2"/>
            <w:vAlign w:val="center"/>
          </w:tcPr>
          <w:p>
            <w:pPr>
              <w:widowControl/>
              <w:spacing w:line="360" w:lineRule="atLeast"/>
              <w:ind w:firstLine="470" w:firstLineChars="196"/>
              <w:jc w:val="center"/>
              <w:rPr>
                <w:rFonts w:ascii="楷体" w:hAnsi="楷体" w:eastAsia="楷体"/>
                <w:sz w:val="24"/>
              </w:rPr>
            </w:pPr>
          </w:p>
        </w:tc>
        <w:tc>
          <w:tcPr>
            <w:tcW w:w="5032" w:type="dxa"/>
            <w:gridSpan w:val="4"/>
            <w:vAlign w:val="center"/>
          </w:tcPr>
          <w:p>
            <w:pPr>
              <w:widowControl/>
              <w:spacing w:line="360" w:lineRule="atLeast"/>
              <w:ind w:firstLine="120" w:firstLineChars="50"/>
              <w:rPr>
                <w:rFonts w:ascii="楷体" w:hAnsi="楷体" w:eastAsia="楷体"/>
                <w:sz w:val="24"/>
              </w:rPr>
            </w:pPr>
            <w:r>
              <w:rPr>
                <w:rFonts w:hint="eastAsia" w:ascii="楷体" w:hAnsi="楷体" w:eastAsia="楷体"/>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营业执照号</w:t>
            </w:r>
          </w:p>
        </w:tc>
        <w:tc>
          <w:tcPr>
            <w:tcW w:w="7489" w:type="dxa"/>
            <w:gridSpan w:val="6"/>
            <w:tcBorders>
              <w:top w:val="single" w:color="auto" w:sz="4" w:space="0"/>
              <w:bottom w:val="single" w:color="auto" w:sz="4" w:space="0"/>
            </w:tcBorders>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注册资金</w:t>
            </w:r>
          </w:p>
        </w:tc>
        <w:tc>
          <w:tcPr>
            <w:tcW w:w="7489" w:type="dxa"/>
            <w:gridSpan w:val="6"/>
            <w:tcBorders>
              <w:top w:val="single" w:color="auto" w:sz="4" w:space="0"/>
              <w:bottom w:val="single" w:color="auto" w:sz="4" w:space="0"/>
            </w:tcBorders>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开户银行</w:t>
            </w:r>
          </w:p>
        </w:tc>
        <w:tc>
          <w:tcPr>
            <w:tcW w:w="7489" w:type="dxa"/>
            <w:gridSpan w:val="6"/>
            <w:tcBorders>
              <w:top w:val="single" w:color="auto" w:sz="4" w:space="0"/>
              <w:bottom w:val="single" w:color="auto" w:sz="4" w:space="0"/>
            </w:tcBorders>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账号</w:t>
            </w:r>
          </w:p>
        </w:tc>
        <w:tc>
          <w:tcPr>
            <w:tcW w:w="7489" w:type="dxa"/>
            <w:gridSpan w:val="6"/>
            <w:tcBorders>
              <w:top w:val="single" w:color="auto" w:sz="4" w:space="0"/>
            </w:tcBorders>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35"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经营范围</w:t>
            </w:r>
          </w:p>
        </w:tc>
        <w:tc>
          <w:tcPr>
            <w:tcW w:w="7489" w:type="dxa"/>
            <w:gridSpan w:val="6"/>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69"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备注</w:t>
            </w:r>
          </w:p>
        </w:tc>
        <w:tc>
          <w:tcPr>
            <w:tcW w:w="7489" w:type="dxa"/>
            <w:gridSpan w:val="6"/>
          </w:tcPr>
          <w:p>
            <w:pPr>
              <w:widowControl/>
              <w:spacing w:line="360" w:lineRule="atLeast"/>
              <w:ind w:firstLine="470" w:firstLineChars="196"/>
              <w:jc w:val="left"/>
              <w:rPr>
                <w:rFonts w:ascii="楷体" w:hAnsi="楷体" w:eastAsia="楷体"/>
                <w:sz w:val="24"/>
              </w:rPr>
            </w:pPr>
          </w:p>
        </w:tc>
      </w:tr>
    </w:tbl>
    <w:p>
      <w:pPr>
        <w:widowControl/>
        <w:spacing w:line="360" w:lineRule="atLeast"/>
        <w:ind w:firstLine="472" w:firstLineChars="196"/>
        <w:jc w:val="left"/>
        <w:rPr>
          <w:rFonts w:ascii="楷体" w:hAnsi="楷体" w:eastAsia="楷体"/>
          <w:b/>
          <w:sz w:val="24"/>
        </w:rPr>
      </w:pPr>
    </w:p>
    <w:p>
      <w:pPr>
        <w:widowControl/>
        <w:spacing w:line="360" w:lineRule="atLeast"/>
        <w:ind w:firstLine="472" w:firstLineChars="196"/>
        <w:jc w:val="left"/>
        <w:rPr>
          <w:rFonts w:ascii="楷体" w:hAnsi="楷体" w:eastAsia="楷体"/>
          <w:b/>
          <w:sz w:val="24"/>
        </w:rPr>
      </w:pPr>
    </w:p>
    <w:p>
      <w:pPr>
        <w:widowControl/>
        <w:spacing w:line="360" w:lineRule="atLeast"/>
        <w:ind w:firstLine="470" w:firstLineChars="196"/>
        <w:jc w:val="left"/>
        <w:rPr>
          <w:rFonts w:ascii="楷体" w:hAnsi="楷体" w:eastAsia="楷体"/>
          <w:sz w:val="24"/>
        </w:rPr>
      </w:pPr>
      <w:r>
        <w:rPr>
          <w:rFonts w:hint="eastAsia" w:ascii="楷体" w:hAnsi="楷体" w:eastAsia="楷体"/>
          <w:sz w:val="24"/>
        </w:rPr>
        <w:t>供应商名称：</w:t>
      </w:r>
      <w:r>
        <w:rPr>
          <w:rFonts w:ascii="楷体" w:hAnsi="楷体" w:eastAsia="楷体"/>
          <w:sz w:val="24"/>
          <w:u w:val="single"/>
        </w:rPr>
        <w:t xml:space="preserve">             </w:t>
      </w:r>
      <w:r>
        <w:rPr>
          <w:rFonts w:hint="eastAsia" w:ascii="楷体" w:hAnsi="楷体" w:eastAsia="楷体"/>
          <w:sz w:val="24"/>
        </w:rPr>
        <w:t>（单位盖章）。</w:t>
      </w:r>
    </w:p>
    <w:p>
      <w:pPr>
        <w:widowControl/>
        <w:spacing w:line="360" w:lineRule="atLeast"/>
        <w:ind w:firstLine="470" w:firstLineChars="196"/>
        <w:jc w:val="left"/>
        <w:rPr>
          <w:rFonts w:ascii="楷体" w:hAnsi="楷体" w:eastAsia="楷体"/>
          <w:sz w:val="24"/>
        </w:rPr>
      </w:pPr>
    </w:p>
    <w:p>
      <w:pPr>
        <w:widowControl/>
        <w:spacing w:line="360" w:lineRule="atLeast"/>
        <w:ind w:firstLine="470" w:firstLineChars="196"/>
        <w:jc w:val="left"/>
        <w:rPr>
          <w:rFonts w:ascii="楷体" w:hAnsi="楷体" w:eastAsia="楷体"/>
          <w:sz w:val="24"/>
        </w:rPr>
      </w:pPr>
      <w:r>
        <w:rPr>
          <w:rFonts w:hint="eastAsia" w:ascii="楷体" w:hAnsi="楷体" w:eastAsia="楷体"/>
          <w:sz w:val="24"/>
        </w:rPr>
        <w:t>法定代表人或授权代表（签字或加盖个人名章）：</w:t>
      </w:r>
      <w:r>
        <w:rPr>
          <w:rFonts w:ascii="楷体" w:hAnsi="楷体" w:eastAsia="楷体"/>
          <w:sz w:val="24"/>
          <w:u w:val="single"/>
        </w:rPr>
        <w:t xml:space="preserve">               </w:t>
      </w:r>
      <w:r>
        <w:rPr>
          <w:rFonts w:hint="eastAsia" w:ascii="楷体" w:hAnsi="楷体" w:eastAsia="楷体"/>
          <w:sz w:val="24"/>
        </w:rPr>
        <w:t>。</w:t>
      </w:r>
    </w:p>
    <w:p>
      <w:pPr>
        <w:widowControl/>
        <w:spacing w:line="360" w:lineRule="atLeast"/>
        <w:ind w:firstLine="470" w:firstLineChars="196"/>
        <w:jc w:val="left"/>
        <w:rPr>
          <w:rFonts w:ascii="楷体" w:hAnsi="楷体" w:eastAsia="楷体"/>
          <w:sz w:val="24"/>
        </w:rPr>
      </w:pPr>
    </w:p>
    <w:p>
      <w:pPr>
        <w:widowControl/>
        <w:spacing w:line="360" w:lineRule="atLeast"/>
        <w:ind w:firstLine="470" w:firstLineChars="196"/>
        <w:jc w:val="left"/>
        <w:rPr>
          <w:rFonts w:ascii="楷体" w:hAnsi="楷体" w:eastAsia="楷体"/>
          <w:sz w:val="24"/>
        </w:rPr>
      </w:pPr>
      <w:r>
        <w:rPr>
          <w:rFonts w:hint="eastAsia" w:ascii="楷体" w:hAnsi="楷体" w:eastAsia="楷体"/>
          <w:sz w:val="24"/>
        </w:rPr>
        <w:t xml:space="preserve">投标日期: </w:t>
      </w:r>
      <w:r>
        <w:rPr>
          <w:rFonts w:ascii="楷体" w:hAnsi="楷体" w:eastAsia="楷体"/>
          <w:sz w:val="24"/>
          <w:u w:val="single"/>
        </w:rPr>
        <w:t xml:space="preserve">              </w:t>
      </w:r>
      <w:r>
        <w:rPr>
          <w:rFonts w:hint="eastAsia" w:ascii="楷体" w:hAnsi="楷体" w:eastAsia="楷体"/>
          <w:sz w:val="24"/>
        </w:rPr>
        <w:t>。</w:t>
      </w:r>
    </w:p>
    <w:p>
      <w:pPr>
        <w:widowControl/>
        <w:spacing w:line="360" w:lineRule="atLeast"/>
        <w:ind w:firstLine="470" w:firstLineChars="196"/>
        <w:jc w:val="left"/>
        <w:rPr>
          <w:rFonts w:ascii="楷体" w:hAnsi="楷体" w:eastAsia="楷体"/>
          <w:sz w:val="24"/>
        </w:rPr>
      </w:pPr>
    </w:p>
    <w:p>
      <w:pPr>
        <w:pageBreakBefore/>
        <w:spacing w:line="360" w:lineRule="auto"/>
        <w:jc w:val="center"/>
        <w:rPr>
          <w:rFonts w:ascii="仿宋" w:hAnsi="仿宋" w:eastAsia="仿宋" w:cs="仿宋"/>
          <w:b/>
          <w:bCs/>
          <w:szCs w:val="21"/>
        </w:rPr>
      </w:pPr>
      <w:r>
        <w:rPr>
          <w:rFonts w:hint="eastAsia" w:ascii="仿宋" w:hAnsi="仿宋" w:eastAsia="仿宋" w:cs="仿宋"/>
          <w:b/>
          <w:bCs/>
          <w:szCs w:val="21"/>
          <w:lang w:val="en-US" w:eastAsia="zh-CN"/>
        </w:rPr>
        <w:t>5</w:t>
      </w:r>
      <w:r>
        <w:rPr>
          <w:rFonts w:hint="eastAsia" w:ascii="仿宋" w:hAnsi="仿宋" w:eastAsia="仿宋" w:cs="仿宋"/>
          <w:b/>
          <w:bCs/>
          <w:szCs w:val="21"/>
        </w:rPr>
        <w:t>、资格证明文件（格式）</w:t>
      </w:r>
    </w:p>
    <w:p>
      <w:pPr>
        <w:pStyle w:val="39"/>
        <w:numPr>
          <w:ilvl w:val="1"/>
          <w:numId w:val="2"/>
        </w:numPr>
        <w:spacing w:line="400" w:lineRule="exact"/>
        <w:ind w:firstLineChars="0"/>
        <w:rPr>
          <w:rFonts w:ascii="仿宋" w:hAnsi="仿宋" w:eastAsia="仿宋" w:cs="仿宋"/>
          <w:sz w:val="24"/>
          <w:szCs w:val="21"/>
        </w:rPr>
      </w:pPr>
      <w:r>
        <w:rPr>
          <w:rFonts w:hint="eastAsia" w:ascii="仿宋" w:hAnsi="仿宋" w:eastAsia="仿宋" w:cs="仿宋"/>
          <w:sz w:val="24"/>
          <w:szCs w:val="21"/>
        </w:rPr>
        <w:t>有效法人营业执照</w:t>
      </w:r>
    </w:p>
    <w:p>
      <w:pPr>
        <w:pStyle w:val="2"/>
        <w:numPr>
          <w:ilvl w:val="1"/>
          <w:numId w:val="2"/>
        </w:numPr>
      </w:pPr>
      <w:r>
        <w:rPr>
          <w:rFonts w:hint="eastAsia" w:ascii="仿宋" w:hAnsi="仿宋" w:eastAsia="仿宋" w:cs="仿宋"/>
        </w:rPr>
        <w:t>具有良好的商业信誉和健全的财务会计制度（提供2018年-2020年度财务报表）</w:t>
      </w:r>
    </w:p>
    <w:p>
      <w:pPr>
        <w:pStyle w:val="2"/>
        <w:numPr>
          <w:ilvl w:val="1"/>
          <w:numId w:val="2"/>
        </w:numPr>
      </w:pPr>
      <w:r>
        <w:rPr>
          <w:rFonts w:hint="eastAsia" w:ascii="仿宋" w:hAnsi="仿宋" w:eastAsia="仿宋" w:cs="仿宋"/>
        </w:rPr>
        <w:t>有依法缴纳税收和社会保障资金的良好记录</w:t>
      </w:r>
    </w:p>
    <w:p>
      <w:pPr>
        <w:pStyle w:val="2"/>
        <w:numPr>
          <w:ilvl w:val="1"/>
          <w:numId w:val="2"/>
        </w:numPr>
      </w:pPr>
      <w:r>
        <w:rPr>
          <w:rFonts w:hint="eastAsia" w:ascii="仿宋" w:hAnsi="仿宋" w:eastAsia="仿宋" w:cs="仿宋"/>
        </w:rPr>
        <w:t>具有履行合同所必需的设备和专业技术能力（提供设备的清单以及技术人员的名单材料或自行做出承诺说明）</w:t>
      </w:r>
    </w:p>
    <w:p>
      <w:pPr>
        <w:pStyle w:val="2"/>
        <w:numPr>
          <w:ilvl w:val="1"/>
          <w:numId w:val="2"/>
        </w:numPr>
      </w:pPr>
      <w:r>
        <w:rPr>
          <w:rFonts w:hint="eastAsia" w:ascii="仿宋" w:hAnsi="仿宋" w:eastAsia="仿宋" w:cs="仿宋"/>
          <w:szCs w:val="21"/>
        </w:rPr>
        <w:t>信用查询记录</w:t>
      </w:r>
    </w:p>
    <w:p>
      <w:pPr>
        <w:pStyle w:val="2"/>
        <w:numPr>
          <w:ilvl w:val="1"/>
          <w:numId w:val="2"/>
        </w:numPr>
      </w:pPr>
      <w:r>
        <w:rPr>
          <w:rFonts w:hint="eastAsia" w:ascii="仿宋" w:hAnsi="仿宋" w:eastAsia="仿宋" w:cs="仿宋"/>
          <w:szCs w:val="21"/>
        </w:rPr>
        <w:t>招标文件中要求的其他资格证明文件（含评标标准中要求的其他证明材料复印件）</w:t>
      </w:r>
    </w:p>
    <w:p>
      <w:pPr>
        <w:ind w:firstLine="210" w:firstLineChars="100"/>
        <w:rPr>
          <w:rFonts w:ascii="仿宋" w:hAnsi="仿宋" w:eastAsia="仿宋" w:cs="仿宋"/>
          <w:szCs w:val="21"/>
        </w:rPr>
      </w:pPr>
      <w:r>
        <w:rPr>
          <w:rFonts w:hint="eastAsia" w:ascii="仿宋" w:hAnsi="仿宋" w:eastAsia="仿宋" w:cs="仿宋"/>
          <w:szCs w:val="21"/>
        </w:rPr>
        <w:t>（格式自拟）</w:t>
      </w: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jc w:val="center"/>
        <w:rPr>
          <w:rFonts w:hint="eastAsia" w:ascii="仿宋" w:hAnsi="仿宋" w:eastAsia="仿宋" w:cs="仿宋"/>
          <w:b/>
          <w:bCs/>
          <w:szCs w:val="21"/>
          <w:lang w:val="en-US" w:eastAsia="zh-CN"/>
        </w:rPr>
      </w:pPr>
    </w:p>
    <w:p>
      <w:pPr>
        <w:jc w:val="center"/>
        <w:rPr>
          <w:rFonts w:hint="eastAsia" w:ascii="仿宋" w:hAnsi="仿宋" w:eastAsia="仿宋" w:cs="仿宋"/>
          <w:b/>
          <w:bCs/>
          <w:szCs w:val="21"/>
          <w:lang w:val="en-US" w:eastAsia="zh-CN"/>
        </w:rPr>
      </w:pPr>
    </w:p>
    <w:p>
      <w:pPr>
        <w:jc w:val="center"/>
        <w:rPr>
          <w:rFonts w:ascii="仿宋" w:hAnsi="仿宋" w:eastAsia="仿宋" w:cs="仿宋"/>
          <w:b/>
          <w:bCs/>
          <w:szCs w:val="21"/>
        </w:rPr>
      </w:pPr>
      <w:r>
        <w:rPr>
          <w:rFonts w:hint="eastAsia" w:ascii="仿宋" w:hAnsi="仿宋" w:eastAsia="仿宋" w:cs="仿宋"/>
          <w:b/>
          <w:bCs/>
          <w:szCs w:val="21"/>
          <w:lang w:val="en-US" w:eastAsia="zh-CN"/>
        </w:rPr>
        <w:t>6</w:t>
      </w:r>
      <w:r>
        <w:rPr>
          <w:rFonts w:hint="eastAsia" w:ascii="仿宋" w:hAnsi="仿宋" w:eastAsia="仿宋" w:cs="仿宋"/>
          <w:b/>
          <w:bCs/>
          <w:szCs w:val="21"/>
        </w:rPr>
        <w:t>、类似业绩（以提供合同复印件为准）</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3464"/>
        <w:gridCol w:w="245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13" w:type="dxa"/>
            <w:vAlign w:val="center"/>
          </w:tcPr>
          <w:p>
            <w:pPr>
              <w:spacing w:line="360" w:lineRule="auto"/>
              <w:jc w:val="center"/>
              <w:rPr>
                <w:rFonts w:ascii="仿宋" w:hAnsi="仿宋" w:eastAsia="仿宋" w:cs="仿宋"/>
              </w:rPr>
            </w:pPr>
            <w:r>
              <w:rPr>
                <w:rFonts w:hint="eastAsia" w:ascii="仿宋" w:hAnsi="仿宋" w:eastAsia="仿宋" w:cs="仿宋"/>
              </w:rPr>
              <w:t>序号</w:t>
            </w:r>
          </w:p>
        </w:tc>
        <w:tc>
          <w:tcPr>
            <w:tcW w:w="3464" w:type="dxa"/>
            <w:vAlign w:val="center"/>
          </w:tcPr>
          <w:p>
            <w:pPr>
              <w:spacing w:line="360" w:lineRule="auto"/>
              <w:jc w:val="center"/>
              <w:rPr>
                <w:rFonts w:ascii="仿宋" w:hAnsi="仿宋" w:eastAsia="仿宋" w:cs="仿宋"/>
              </w:rPr>
            </w:pPr>
            <w:r>
              <w:rPr>
                <w:rFonts w:hint="eastAsia" w:ascii="仿宋" w:hAnsi="仿宋" w:eastAsia="仿宋" w:cs="仿宋"/>
              </w:rPr>
              <w:t>项目名称</w:t>
            </w:r>
          </w:p>
        </w:tc>
        <w:tc>
          <w:tcPr>
            <w:tcW w:w="2450" w:type="dxa"/>
            <w:vAlign w:val="center"/>
          </w:tcPr>
          <w:p>
            <w:pPr>
              <w:spacing w:line="360" w:lineRule="auto"/>
              <w:jc w:val="center"/>
              <w:rPr>
                <w:rFonts w:ascii="仿宋" w:hAnsi="仿宋" w:eastAsia="仿宋" w:cs="仿宋"/>
              </w:rPr>
            </w:pPr>
            <w:r>
              <w:rPr>
                <w:rFonts w:hint="eastAsia" w:ascii="仿宋" w:hAnsi="仿宋" w:eastAsia="仿宋" w:cs="仿宋"/>
              </w:rPr>
              <w:t>采购内容</w:t>
            </w:r>
          </w:p>
        </w:tc>
        <w:tc>
          <w:tcPr>
            <w:tcW w:w="1559" w:type="dxa"/>
            <w:vAlign w:val="center"/>
          </w:tcPr>
          <w:p>
            <w:pPr>
              <w:spacing w:line="360" w:lineRule="auto"/>
              <w:jc w:val="center"/>
              <w:rPr>
                <w:rFonts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813" w:type="dxa"/>
            <w:vAlign w:val="center"/>
          </w:tcPr>
          <w:p>
            <w:pPr>
              <w:spacing w:line="360" w:lineRule="auto"/>
              <w:jc w:val="center"/>
              <w:rPr>
                <w:rFonts w:ascii="仿宋" w:hAnsi="仿宋" w:eastAsia="仿宋" w:cs="仿宋"/>
              </w:rPr>
            </w:pPr>
          </w:p>
        </w:tc>
        <w:tc>
          <w:tcPr>
            <w:tcW w:w="3464"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c>
          <w:tcPr>
            <w:tcW w:w="2450"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c>
          <w:tcPr>
            <w:tcW w:w="1559"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813" w:type="dxa"/>
            <w:vAlign w:val="center"/>
          </w:tcPr>
          <w:p>
            <w:pPr>
              <w:spacing w:line="360" w:lineRule="auto"/>
              <w:jc w:val="center"/>
              <w:rPr>
                <w:rFonts w:ascii="仿宋" w:hAnsi="仿宋" w:eastAsia="仿宋" w:cs="仿宋"/>
              </w:rPr>
            </w:pPr>
          </w:p>
        </w:tc>
        <w:tc>
          <w:tcPr>
            <w:tcW w:w="3464"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c>
          <w:tcPr>
            <w:tcW w:w="2450"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c>
          <w:tcPr>
            <w:tcW w:w="1559"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813" w:type="dxa"/>
            <w:vAlign w:val="center"/>
          </w:tcPr>
          <w:p>
            <w:pPr>
              <w:spacing w:line="360" w:lineRule="auto"/>
              <w:jc w:val="center"/>
              <w:rPr>
                <w:rFonts w:ascii="仿宋" w:hAnsi="仿宋" w:eastAsia="仿宋" w:cs="仿宋"/>
              </w:rPr>
            </w:pPr>
          </w:p>
        </w:tc>
        <w:tc>
          <w:tcPr>
            <w:tcW w:w="3464"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c>
          <w:tcPr>
            <w:tcW w:w="2450"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c>
          <w:tcPr>
            <w:tcW w:w="1559"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r>
    </w:tbl>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r>
        <w:rPr>
          <w:rFonts w:hint="eastAsia" w:ascii="仿宋" w:hAnsi="仿宋" w:eastAsia="仿宋" w:cs="仿宋"/>
        </w:rPr>
        <w:t>（后附合同复印件）</w:t>
      </w:r>
    </w:p>
    <w:p>
      <w:pPr>
        <w:rPr>
          <w:rFonts w:ascii="仿宋" w:hAnsi="仿宋" w:eastAsia="仿宋" w:cs="仿宋"/>
          <w:szCs w:val="21"/>
        </w:rPr>
      </w:pPr>
    </w:p>
    <w:p>
      <w:pPr>
        <w:pStyle w:val="39"/>
        <w:ind w:left="465" w:firstLine="0" w:firstLineChars="0"/>
        <w:jc w:val="center"/>
        <w:rPr>
          <w:rFonts w:ascii="仿宋" w:hAnsi="仿宋" w:eastAsia="仿宋" w:cs="仿宋"/>
        </w:rPr>
      </w:pPr>
      <w:r>
        <w:rPr>
          <w:rFonts w:hint="eastAsia" w:ascii="仿宋" w:hAnsi="仿宋" w:eastAsia="仿宋" w:cs="仿宋"/>
          <w:b/>
          <w:bCs/>
          <w:szCs w:val="21"/>
        </w:rPr>
        <w:br w:type="page"/>
      </w:r>
      <w:bookmarkEnd w:id="148"/>
      <w:bookmarkEnd w:id="149"/>
      <w:bookmarkEnd w:id="150"/>
      <w:bookmarkEnd w:id="151"/>
      <w:bookmarkEnd w:id="152"/>
      <w:bookmarkEnd w:id="153"/>
      <w:bookmarkEnd w:id="154"/>
      <w:bookmarkEnd w:id="155"/>
      <w:bookmarkEnd w:id="156"/>
      <w:bookmarkEnd w:id="157"/>
      <w:bookmarkStart w:id="158" w:name="_Toc47262071"/>
      <w:bookmarkStart w:id="159" w:name="_Toc47418257"/>
      <w:bookmarkStart w:id="160" w:name="_Toc48791237"/>
      <w:bookmarkStart w:id="161" w:name="_Toc47261887"/>
      <w:bookmarkStart w:id="162" w:name="_Toc47418940"/>
      <w:bookmarkStart w:id="163" w:name="_Toc47418733"/>
      <w:bookmarkStart w:id="164" w:name="_Toc48995853"/>
      <w:bookmarkStart w:id="165" w:name="_Toc49019238"/>
      <w:bookmarkStart w:id="166" w:name="_Toc47261692"/>
      <w:r>
        <w:rPr>
          <w:rFonts w:hint="eastAsia" w:ascii="仿宋" w:hAnsi="仿宋" w:eastAsia="仿宋" w:cs="仿宋"/>
          <w:b/>
          <w:bCs/>
          <w:szCs w:val="21"/>
          <w:lang w:val="en-US" w:eastAsia="zh-CN"/>
        </w:rPr>
        <w:t>7</w:t>
      </w:r>
      <w:r>
        <w:rPr>
          <w:rFonts w:hint="eastAsia" w:ascii="仿宋" w:hAnsi="仿宋" w:eastAsia="仿宋" w:cs="仿宋"/>
          <w:b/>
          <w:bCs/>
          <w:szCs w:val="21"/>
        </w:rPr>
        <w:t>、技术部分</w:t>
      </w:r>
    </w:p>
    <w:p>
      <w:pPr>
        <w:spacing w:line="400" w:lineRule="exact"/>
        <w:jc w:val="center"/>
        <w:rPr>
          <w:rFonts w:ascii="仿宋" w:hAnsi="仿宋" w:eastAsia="仿宋" w:cs="仿宋"/>
          <w:sz w:val="24"/>
          <w:szCs w:val="21"/>
        </w:rPr>
      </w:pPr>
      <w:r>
        <w:rPr>
          <w:rFonts w:hint="eastAsia" w:ascii="仿宋" w:hAnsi="仿宋" w:eastAsia="仿宋" w:cs="仿宋"/>
          <w:sz w:val="24"/>
          <w:szCs w:val="21"/>
        </w:rPr>
        <w:t>（包含不限于）</w:t>
      </w:r>
    </w:p>
    <w:p>
      <w:pPr>
        <w:pStyle w:val="2"/>
        <w:rPr>
          <w:rFonts w:ascii="仿宋" w:hAnsi="仿宋" w:eastAsia="仿宋" w:cs="仿宋"/>
          <w:color w:val="auto"/>
          <w:kern w:val="2"/>
          <w:szCs w:val="21"/>
        </w:rPr>
      </w:pPr>
      <w:r>
        <w:rPr>
          <w:rFonts w:hint="eastAsia" w:ascii="仿宋" w:hAnsi="仿宋" w:eastAsia="仿宋" w:cs="仿宋"/>
          <w:color w:val="auto"/>
          <w:kern w:val="2"/>
          <w:szCs w:val="21"/>
        </w:rPr>
        <w:t>1、项目实施方案（格式自拟）</w:t>
      </w:r>
    </w:p>
    <w:p>
      <w:pPr>
        <w:spacing w:line="400" w:lineRule="exact"/>
        <w:rPr>
          <w:rFonts w:ascii="仿宋" w:hAnsi="仿宋" w:eastAsia="仿宋" w:cs="仿宋"/>
          <w:sz w:val="24"/>
          <w:szCs w:val="21"/>
        </w:rPr>
      </w:pPr>
      <w:r>
        <w:rPr>
          <w:rFonts w:hint="eastAsia" w:ascii="仿宋" w:hAnsi="仿宋" w:eastAsia="仿宋" w:cs="仿宋"/>
          <w:sz w:val="24"/>
          <w:szCs w:val="21"/>
        </w:rPr>
        <w:t>2、售后服务方案（格式自拟）</w:t>
      </w:r>
    </w:p>
    <w:bookmarkEnd w:id="158"/>
    <w:bookmarkEnd w:id="159"/>
    <w:bookmarkEnd w:id="160"/>
    <w:bookmarkEnd w:id="161"/>
    <w:bookmarkEnd w:id="162"/>
    <w:bookmarkEnd w:id="163"/>
    <w:bookmarkEnd w:id="164"/>
    <w:bookmarkEnd w:id="165"/>
    <w:bookmarkEnd w:id="166"/>
    <w:p>
      <w:pPr>
        <w:spacing w:line="360" w:lineRule="auto"/>
        <w:jc w:val="center"/>
        <w:rPr>
          <w:rFonts w:ascii="仿宋" w:hAnsi="仿宋" w:eastAsia="仿宋" w:cs="仿宋"/>
          <w:sz w:val="24"/>
          <w:szCs w:val="21"/>
        </w:rPr>
      </w:pPr>
      <w:bookmarkStart w:id="167" w:name="_Toc453490053"/>
      <w:bookmarkStart w:id="168" w:name="_Toc47416201"/>
      <w:bookmarkStart w:id="169" w:name="_Toc49019240"/>
      <w:bookmarkStart w:id="170" w:name="_Toc47415947"/>
      <w:bookmarkStart w:id="171" w:name="_Toc453587174"/>
      <w:bookmarkStart w:id="172" w:name="_Toc6595"/>
    </w:p>
    <w:p>
      <w:pPr>
        <w:spacing w:line="360" w:lineRule="auto"/>
        <w:jc w:val="center"/>
        <w:rPr>
          <w:rFonts w:ascii="仿宋" w:hAnsi="仿宋" w:eastAsia="仿宋" w:cs="仿宋"/>
          <w:sz w:val="24"/>
          <w:szCs w:val="21"/>
        </w:rPr>
      </w:pPr>
      <w:r>
        <w:rPr>
          <w:rFonts w:hint="eastAsia" w:ascii="仿宋" w:hAnsi="仿宋" w:eastAsia="仿宋" w:cs="仿宋"/>
          <w:sz w:val="24"/>
          <w:szCs w:val="21"/>
        </w:rPr>
        <w:t>（技术部分内容不得超过</w:t>
      </w:r>
      <w:r>
        <w:rPr>
          <w:rFonts w:hint="eastAsia" w:ascii="仿宋" w:hAnsi="仿宋" w:eastAsia="仿宋" w:cs="仿宋"/>
          <w:sz w:val="24"/>
          <w:szCs w:val="21"/>
          <w:lang w:val="en-US" w:eastAsia="zh-CN"/>
        </w:rPr>
        <w:t>2</w:t>
      </w:r>
      <w:r>
        <w:rPr>
          <w:rFonts w:hint="eastAsia" w:ascii="仿宋" w:hAnsi="仿宋" w:eastAsia="仿宋" w:cs="仿宋"/>
          <w:sz w:val="24"/>
          <w:szCs w:val="21"/>
        </w:rPr>
        <w:t>00页（含</w:t>
      </w:r>
      <w:r>
        <w:rPr>
          <w:rFonts w:hint="eastAsia" w:ascii="仿宋" w:hAnsi="仿宋" w:eastAsia="仿宋" w:cs="仿宋"/>
          <w:sz w:val="24"/>
          <w:szCs w:val="21"/>
          <w:lang w:val="en-US" w:eastAsia="zh-CN"/>
        </w:rPr>
        <w:t>2</w:t>
      </w:r>
      <w:r>
        <w:rPr>
          <w:rFonts w:hint="eastAsia" w:ascii="仿宋" w:hAnsi="仿宋" w:eastAsia="仿宋" w:cs="仿宋"/>
          <w:sz w:val="24"/>
          <w:szCs w:val="21"/>
        </w:rPr>
        <w:t>00页）,超出</w:t>
      </w:r>
      <w:r>
        <w:rPr>
          <w:rFonts w:hint="eastAsia" w:ascii="仿宋" w:hAnsi="仿宋" w:eastAsia="仿宋" w:cs="仿宋"/>
          <w:sz w:val="24"/>
          <w:szCs w:val="21"/>
          <w:lang w:val="en-US" w:eastAsia="zh-CN"/>
        </w:rPr>
        <w:t>2</w:t>
      </w:r>
      <w:r>
        <w:rPr>
          <w:rFonts w:hint="eastAsia" w:ascii="仿宋" w:hAnsi="仿宋" w:eastAsia="仿宋" w:cs="仿宋"/>
          <w:sz w:val="24"/>
          <w:szCs w:val="21"/>
        </w:rPr>
        <w:t>00页按零分处理。）</w:t>
      </w:r>
    </w:p>
    <w:p>
      <w:pPr>
        <w:spacing w:line="360" w:lineRule="auto"/>
        <w:jc w:val="center"/>
        <w:rPr>
          <w:rFonts w:ascii="仿宋" w:hAnsi="仿宋" w:eastAsia="仿宋" w:cs="仿宋"/>
          <w:sz w:val="24"/>
          <w:szCs w:val="21"/>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pStyle w:val="39"/>
        <w:ind w:left="465" w:firstLine="0" w:firstLineChars="0"/>
        <w:jc w:val="center"/>
        <w:rPr>
          <w:rFonts w:ascii="仿宋" w:hAnsi="仿宋" w:eastAsia="仿宋" w:cs="仿宋"/>
          <w:b/>
          <w:bCs/>
          <w:szCs w:val="21"/>
        </w:rPr>
      </w:pPr>
      <w:r>
        <w:rPr>
          <w:rFonts w:hint="eastAsia" w:ascii="仿宋" w:hAnsi="仿宋" w:eastAsia="仿宋" w:cs="仿宋"/>
          <w:b/>
          <w:bCs/>
          <w:szCs w:val="21"/>
          <w:lang w:val="en-US" w:eastAsia="zh-CN"/>
        </w:rPr>
        <w:t>8</w:t>
      </w:r>
      <w:r>
        <w:rPr>
          <w:rFonts w:hint="eastAsia" w:ascii="仿宋" w:hAnsi="仿宋" w:eastAsia="仿宋" w:cs="仿宋"/>
          <w:b/>
          <w:bCs/>
          <w:szCs w:val="21"/>
        </w:rPr>
        <w:t>、其他材料</w:t>
      </w:r>
    </w:p>
    <w:p>
      <w:pPr>
        <w:pStyle w:val="39"/>
        <w:ind w:left="465" w:firstLine="0" w:firstLineChars="0"/>
        <w:jc w:val="center"/>
        <w:rPr>
          <w:rFonts w:ascii="仿宋" w:hAnsi="仿宋" w:eastAsia="仿宋" w:cs="仿宋"/>
        </w:rPr>
      </w:pPr>
      <w:r>
        <w:rPr>
          <w:rFonts w:hint="eastAsia" w:ascii="仿宋" w:hAnsi="仿宋" w:eastAsia="仿宋" w:cs="仿宋"/>
          <w:b/>
          <w:bCs/>
          <w:szCs w:val="21"/>
        </w:rPr>
        <w:t>（投标人认为需要提供的材料，格式自拟）</w:t>
      </w:r>
    </w:p>
    <w:p>
      <w:pPr>
        <w:spacing w:line="360" w:lineRule="auto"/>
        <w:jc w:val="center"/>
        <w:rPr>
          <w:rFonts w:ascii="仿宋" w:hAnsi="仿宋" w:eastAsia="仿宋" w:cs="仿宋"/>
          <w:bCs/>
          <w:sz w:val="24"/>
        </w:rPr>
      </w:pPr>
    </w:p>
    <w:p>
      <w:pPr>
        <w:spacing w:line="360" w:lineRule="auto"/>
        <w:jc w:val="center"/>
        <w:rPr>
          <w:rFonts w:ascii="仿宋" w:hAnsi="仿宋" w:eastAsia="仿宋" w:cs="仿宋"/>
          <w:b/>
          <w:bCs/>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bookmarkEnd w:id="167"/>
    <w:p>
      <w:pPr>
        <w:pStyle w:val="3"/>
        <w:jc w:val="center"/>
      </w:pPr>
      <w:bookmarkStart w:id="173" w:name="_Toc87205270"/>
      <w:bookmarkStart w:id="174" w:name="_Toc47364337"/>
      <w:r>
        <w:rPr>
          <w:rFonts w:hint="eastAsia"/>
        </w:rPr>
        <w:t xml:space="preserve">第六章 </w:t>
      </w:r>
      <w:bookmarkEnd w:id="168"/>
      <w:bookmarkEnd w:id="169"/>
      <w:bookmarkEnd w:id="170"/>
      <w:bookmarkEnd w:id="171"/>
      <w:r>
        <w:rPr>
          <w:rFonts w:hint="eastAsia"/>
        </w:rPr>
        <w:t>资格审查与评分标准</w:t>
      </w:r>
      <w:bookmarkEnd w:id="172"/>
      <w:bookmarkEnd w:id="173"/>
      <w:bookmarkEnd w:id="174"/>
    </w:p>
    <w:p>
      <w:pPr>
        <w:rPr>
          <w:rFonts w:ascii="仿宋" w:hAnsi="仿宋" w:eastAsia="仿宋" w:cs="仿宋"/>
          <w:b/>
          <w:kern w:val="0"/>
          <w:sz w:val="24"/>
        </w:rPr>
      </w:pPr>
      <w:r>
        <w:rPr>
          <w:rFonts w:hint="eastAsia" w:ascii="仿宋" w:hAnsi="仿宋" w:eastAsia="仿宋" w:cs="仿宋"/>
          <w:b/>
          <w:kern w:val="0"/>
          <w:sz w:val="24"/>
        </w:rPr>
        <w:t>1、初审表：</w:t>
      </w:r>
    </w:p>
    <w:tbl>
      <w:tblPr>
        <w:tblStyle w:val="3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8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92" w:type="pct"/>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jc w:val="center"/>
              <w:rPr>
                <w:rFonts w:ascii="仿宋" w:hAnsi="仿宋" w:eastAsia="仿宋" w:cs="仿宋"/>
                <w:sz w:val="22"/>
                <w:szCs w:val="22"/>
              </w:rPr>
            </w:pPr>
            <w:r>
              <w:rPr>
                <w:rFonts w:hint="eastAsia" w:ascii="仿宋" w:hAnsi="仿宋" w:eastAsia="仿宋" w:cs="仿宋"/>
                <w:sz w:val="22"/>
                <w:szCs w:val="22"/>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2" w:type="pct"/>
            <w:vMerge w:val="restart"/>
            <w:vAlign w:val="center"/>
          </w:tcPr>
          <w:p>
            <w:pPr>
              <w:spacing w:line="500" w:lineRule="exact"/>
              <w:jc w:val="center"/>
              <w:rPr>
                <w:rFonts w:ascii="仿宋" w:hAnsi="仿宋" w:eastAsia="仿宋" w:cs="仿宋"/>
                <w:sz w:val="22"/>
                <w:szCs w:val="22"/>
              </w:rPr>
            </w:pPr>
            <w:r>
              <w:rPr>
                <w:rFonts w:hint="eastAsia" w:ascii="仿宋" w:hAnsi="仿宋" w:eastAsia="仿宋" w:cs="仿宋"/>
                <w:sz w:val="22"/>
                <w:szCs w:val="22"/>
              </w:rPr>
              <w:t>资格审查</w:t>
            </w: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2"/>
                <w:szCs w:val="22"/>
              </w:rPr>
              <w:t>投标人应具备《中华人民共和国政府采购法》第二十二条规定的条件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2"/>
                <w:szCs w:val="22"/>
              </w:rPr>
              <w:t>投标人须具备</w:t>
            </w:r>
            <w:r>
              <w:rPr>
                <w:rFonts w:hint="eastAsia" w:ascii="仿宋" w:hAnsi="仿宋" w:eastAsia="仿宋" w:cs="仿宋"/>
                <w:sz w:val="24"/>
              </w:rPr>
              <w:t>具有独立承担民事责任的能力(提供法人或者其他组织的营业执照等证明文件,自然人的身份证明)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4"/>
              </w:rPr>
              <w:t>具有良好的商业信誉和健全的财务会计制度（提供2018年-2020年度财务报表；投标人为2020年1月1日以后成立的，可提供近期的月或季度财务报表复印件）</w:t>
            </w:r>
            <w:r>
              <w:rPr>
                <w:rFonts w:hint="eastAsia" w:ascii="仿宋" w:hAnsi="仿宋" w:eastAsia="仿宋" w:cs="仿宋"/>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4"/>
              </w:rPr>
              <w:t>有依法缴纳税收和社会保障资金的良好记录（提供近半年至今任意一个月缴纳税收和社会保险的凭证复印件。如依法免税或不需要缴纳社会保障资金的，应提供相应文件证明复印件)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4"/>
              </w:rPr>
              <w:t>具有履行合同所必需的设备和专业技术能力（提供设备的清单以及技术人员的名单材料或自行做出承诺说明）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4"/>
              </w:rPr>
            </w:pPr>
            <w:r>
              <w:rPr>
                <w:rFonts w:hint="eastAsia" w:ascii="仿宋" w:hAnsi="仿宋" w:eastAsia="仿宋" w:cs="仿宋"/>
                <w:sz w:val="24"/>
              </w:rPr>
              <w:t>投标人在“信用中国”网（www.creditchina.gov.cn）、“中国政府采购”网（www.ccgp.gov.cn）没有被列入失信被执行人、重大税收违法案件当事人名单、政府采购严重违法失信行为记录名单及其他不符合规定条件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2"/>
                <w:szCs w:val="22"/>
              </w:rPr>
              <w:t>对招标文件中关键、主要货物的报价没有漏项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2"/>
                <w:szCs w:val="22"/>
              </w:rPr>
              <w:t>投标文件完整且编排有序，内容无重大错漏，并按要求签署、盖章；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2"/>
                <w:szCs w:val="22"/>
              </w:rPr>
              <w:t>对合同履行期限是否响应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2"/>
                <w:szCs w:val="22"/>
              </w:rPr>
              <w:t>投标人是否有其他违反国家法律、法规的行为，按有关法律、法规规定属于中标无效的。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000" w:type="pct"/>
            <w:gridSpan w:val="2"/>
            <w:vAlign w:val="center"/>
          </w:tcPr>
          <w:p>
            <w:pPr>
              <w:wordWrap w:val="0"/>
              <w:spacing w:line="500" w:lineRule="exact"/>
              <w:jc w:val="left"/>
              <w:rPr>
                <w:rFonts w:ascii="仿宋" w:hAnsi="仿宋" w:eastAsia="仿宋" w:cs="仿宋"/>
                <w:sz w:val="20"/>
                <w:szCs w:val="22"/>
              </w:rPr>
            </w:pPr>
            <w:r>
              <w:rPr>
                <w:rFonts w:hint="eastAsia" w:ascii="仿宋" w:hAnsi="仿宋" w:eastAsia="仿宋" w:cs="仿宋"/>
                <w:sz w:val="22"/>
                <w:szCs w:val="28"/>
              </w:rPr>
              <w:t>注：投标人须提供上述各项资料，且所提供的资料满足招标文件要求，有任意一项未提交或不满足的，经评标委员会半数以上成员一致同意，其投标将被按照无效投标处理，经评标委员会认定的无效投标文件不得进入详细评审。</w:t>
            </w:r>
          </w:p>
        </w:tc>
      </w:tr>
    </w:tbl>
    <w:p>
      <w:pPr>
        <w:rPr>
          <w:rFonts w:ascii="仿宋" w:hAnsi="仿宋" w:eastAsia="仿宋" w:cs="仿宋"/>
        </w:rPr>
      </w:pPr>
    </w:p>
    <w:p>
      <w:pPr>
        <w:pStyle w:val="13"/>
        <w:rPr>
          <w:rFonts w:ascii="仿宋" w:hAnsi="仿宋" w:eastAsia="仿宋" w:cs="仿宋"/>
          <w:b/>
          <w:bCs/>
        </w:rPr>
      </w:pPr>
    </w:p>
    <w:p>
      <w:pPr>
        <w:pStyle w:val="13"/>
        <w:rPr>
          <w:rFonts w:ascii="仿宋" w:hAnsi="仿宋" w:eastAsia="仿宋" w:cs="仿宋"/>
          <w:b/>
          <w:bCs/>
        </w:rPr>
      </w:pPr>
    </w:p>
    <w:p>
      <w:pPr>
        <w:pStyle w:val="13"/>
        <w:rPr>
          <w:rFonts w:ascii="仿宋" w:hAnsi="仿宋" w:eastAsia="仿宋" w:cs="仿宋"/>
          <w:b/>
          <w:bCs/>
        </w:rPr>
      </w:pPr>
    </w:p>
    <w:p>
      <w:pPr>
        <w:pStyle w:val="13"/>
        <w:rPr>
          <w:rFonts w:ascii="仿宋" w:hAnsi="仿宋" w:eastAsia="仿宋" w:cs="仿宋"/>
          <w:b/>
          <w:bCs/>
        </w:rPr>
      </w:pPr>
      <w:r>
        <w:rPr>
          <w:rFonts w:hint="eastAsia" w:ascii="仿宋" w:hAnsi="仿宋" w:eastAsia="仿宋" w:cs="仿宋"/>
          <w:b/>
          <w:bCs/>
        </w:rPr>
        <w:t>2、评分标准：</w:t>
      </w:r>
    </w:p>
    <w:p>
      <w:pPr>
        <w:ind w:firstLine="2352" w:firstLineChars="980"/>
        <w:rPr>
          <w:rFonts w:ascii="宋体" w:hAnsi="宋体"/>
          <w:b/>
          <w:sz w:val="24"/>
          <w:u w:val="single"/>
        </w:rPr>
      </w:pPr>
      <w:r>
        <w:rPr>
          <w:rFonts w:hint="eastAsia" w:ascii="宋体" w:hAnsi="宋体"/>
          <w:sz w:val="24"/>
        </w:rPr>
        <w:t>评标采取</w:t>
      </w:r>
      <w:r>
        <w:rPr>
          <w:rFonts w:hint="eastAsia" w:ascii="宋体" w:hAnsi="宋体"/>
          <w:b/>
          <w:sz w:val="24"/>
          <w:u w:val="single"/>
        </w:rPr>
        <w:t>综合评分法</w:t>
      </w:r>
    </w:p>
    <w:tbl>
      <w:tblPr>
        <w:tblStyle w:val="30"/>
        <w:tblW w:w="9652" w:type="dxa"/>
        <w:tblInd w:w="-74" w:type="dxa"/>
        <w:tblLayout w:type="fixed"/>
        <w:tblCellMar>
          <w:top w:w="0" w:type="dxa"/>
          <w:left w:w="108" w:type="dxa"/>
          <w:bottom w:w="0" w:type="dxa"/>
          <w:right w:w="108" w:type="dxa"/>
        </w:tblCellMar>
      </w:tblPr>
      <w:tblGrid>
        <w:gridCol w:w="506"/>
        <w:gridCol w:w="1264"/>
        <w:gridCol w:w="709"/>
        <w:gridCol w:w="7173"/>
      </w:tblGrid>
      <w:tr>
        <w:tblPrEx>
          <w:tblCellMar>
            <w:top w:w="0" w:type="dxa"/>
            <w:left w:w="108" w:type="dxa"/>
            <w:bottom w:w="0" w:type="dxa"/>
            <w:right w:w="108" w:type="dxa"/>
          </w:tblCellMar>
        </w:tblPrEx>
        <w:trPr>
          <w:trHeight w:val="1020" w:hRule="atLeast"/>
        </w:trPr>
        <w:tc>
          <w:tcPr>
            <w:tcW w:w="50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序号</w:t>
            </w:r>
          </w:p>
        </w:tc>
        <w:tc>
          <w:tcPr>
            <w:tcW w:w="126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评标项目</w:t>
            </w:r>
          </w:p>
        </w:tc>
        <w:tc>
          <w:tcPr>
            <w:tcW w:w="70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权重</w:t>
            </w:r>
          </w:p>
        </w:tc>
        <w:tc>
          <w:tcPr>
            <w:tcW w:w="717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评标办法</w:t>
            </w:r>
          </w:p>
        </w:tc>
      </w:tr>
      <w:tr>
        <w:tblPrEx>
          <w:tblCellMar>
            <w:top w:w="0" w:type="dxa"/>
            <w:left w:w="108" w:type="dxa"/>
            <w:bottom w:w="0" w:type="dxa"/>
            <w:right w:w="108" w:type="dxa"/>
          </w:tblCellMar>
        </w:tblPrEx>
        <w:trPr>
          <w:trHeight w:val="1020" w:hRule="atLeast"/>
        </w:trPr>
        <w:tc>
          <w:tcPr>
            <w:tcW w:w="506" w:type="dxa"/>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一</w:t>
            </w:r>
          </w:p>
        </w:tc>
        <w:tc>
          <w:tcPr>
            <w:tcW w:w="126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报价</w:t>
            </w:r>
          </w:p>
        </w:tc>
        <w:tc>
          <w:tcPr>
            <w:tcW w:w="70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0分</w:t>
            </w:r>
          </w:p>
        </w:tc>
        <w:tc>
          <w:tcPr>
            <w:tcW w:w="7173"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宋体" w:hAnsi="宋体" w:eastAsia="宋体" w:cs="宋体"/>
                <w:kern w:val="0"/>
                <w:sz w:val="24"/>
                <w:lang w:eastAsia="zh-CN"/>
              </w:rPr>
            </w:pPr>
            <w:r>
              <w:rPr>
                <w:rFonts w:hint="eastAsia" w:ascii="宋体" w:hAnsi="宋体" w:cs="宋体"/>
                <w:kern w:val="0"/>
                <w:sz w:val="24"/>
              </w:rPr>
              <w:t>根据财政部《财库2007（2）》文件，综合评分法中的价格分统一采用各投标单位投标报价最低者优先法计算，即满足招标文件要求且投标报价最低者的比例为评标基准价，其价格分为满分</w:t>
            </w:r>
            <w:r>
              <w:rPr>
                <w:rFonts w:hint="eastAsia" w:ascii="宋体" w:hAnsi="宋体" w:cs="宋体"/>
                <w:kern w:val="0"/>
                <w:sz w:val="24"/>
                <w:lang w:eastAsia="zh-CN"/>
              </w:rPr>
              <w:t>。</w:t>
            </w:r>
          </w:p>
          <w:p>
            <w:pPr>
              <w:widowControl/>
              <w:spacing w:line="400" w:lineRule="exact"/>
              <w:jc w:val="left"/>
              <w:rPr>
                <w:rFonts w:ascii="宋体" w:hAnsi="宋体" w:cs="宋体"/>
                <w:kern w:val="0"/>
                <w:sz w:val="24"/>
              </w:rPr>
            </w:pPr>
          </w:p>
        </w:tc>
      </w:tr>
      <w:tr>
        <w:tblPrEx>
          <w:tblCellMar>
            <w:top w:w="0" w:type="dxa"/>
            <w:left w:w="108" w:type="dxa"/>
            <w:bottom w:w="0" w:type="dxa"/>
            <w:right w:w="108" w:type="dxa"/>
          </w:tblCellMar>
        </w:tblPrEx>
        <w:trPr>
          <w:trHeight w:val="1020" w:hRule="atLeast"/>
        </w:trPr>
        <w:tc>
          <w:tcPr>
            <w:tcW w:w="506" w:type="dxa"/>
            <w:tcBorders>
              <w:top w:val="nil"/>
              <w:left w:val="single" w:color="auto" w:sz="8"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146" w:type="dxa"/>
            <w:gridSpan w:val="3"/>
            <w:tcBorders>
              <w:top w:val="single" w:color="auto" w:sz="4" w:space="0"/>
              <w:left w:val="nil"/>
              <w:bottom w:val="single" w:color="auto" w:sz="4" w:space="0"/>
              <w:right w:val="single" w:color="000000" w:sz="8" w:space="0"/>
            </w:tcBorders>
            <w:vAlign w:val="center"/>
          </w:tcPr>
          <w:p>
            <w:pPr>
              <w:widowControl/>
              <w:spacing w:line="400" w:lineRule="exact"/>
              <w:jc w:val="left"/>
              <w:rPr>
                <w:rFonts w:ascii="宋体" w:hAnsi="宋体" w:cs="宋体"/>
                <w:kern w:val="0"/>
                <w:sz w:val="24"/>
              </w:rPr>
            </w:pPr>
            <w:r>
              <w:rPr>
                <w:rFonts w:hint="eastAsia" w:ascii="宋体" w:hAnsi="宋体" w:cs="宋体"/>
                <w:kern w:val="0"/>
                <w:szCs w:val="21"/>
              </w:rPr>
              <w:t>技术部分</w:t>
            </w:r>
            <w:r>
              <w:rPr>
                <w:rFonts w:hint="eastAsia" w:ascii="宋体" w:hAnsi="宋体" w:cs="宋体"/>
                <w:kern w:val="0"/>
                <w:sz w:val="24"/>
              </w:rPr>
              <w:t>（</w:t>
            </w:r>
            <w:r>
              <w:rPr>
                <w:rFonts w:hint="eastAsia" w:ascii="宋体" w:hAnsi="宋体" w:cs="宋体"/>
                <w:kern w:val="0"/>
                <w:sz w:val="24"/>
                <w:lang w:val="en-US" w:eastAsia="zh-CN"/>
              </w:rPr>
              <w:t>6</w:t>
            </w:r>
            <w:r>
              <w:rPr>
                <w:rFonts w:hint="eastAsia" w:ascii="宋体" w:hAnsi="宋体" w:cs="宋体"/>
                <w:kern w:val="0"/>
                <w:sz w:val="24"/>
              </w:rPr>
              <w:t>5分）</w:t>
            </w:r>
          </w:p>
        </w:tc>
      </w:tr>
      <w:tr>
        <w:tblPrEx>
          <w:tblCellMar>
            <w:top w:w="0" w:type="dxa"/>
            <w:left w:w="108" w:type="dxa"/>
            <w:bottom w:w="0" w:type="dxa"/>
            <w:right w:w="108" w:type="dxa"/>
          </w:tblCellMar>
        </w:tblPrEx>
        <w:trPr>
          <w:trHeight w:val="693" w:hRule="atLeast"/>
        </w:trPr>
        <w:tc>
          <w:tcPr>
            <w:tcW w:w="506" w:type="dxa"/>
            <w:tcBorders>
              <w:top w:val="single" w:color="auto" w:sz="4" w:space="0"/>
              <w:left w:val="single" w:color="auto" w:sz="8"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1</w:t>
            </w:r>
          </w:p>
        </w:tc>
        <w:tc>
          <w:tcPr>
            <w:tcW w:w="12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项目实施方案</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5</w:t>
            </w:r>
            <w:r>
              <w:rPr>
                <w:rFonts w:hint="eastAsia" w:ascii="宋体" w:hAnsi="宋体" w:cs="宋体"/>
                <w:kern w:val="0"/>
                <w:sz w:val="24"/>
              </w:rPr>
              <w:t>0</w:t>
            </w:r>
          </w:p>
        </w:tc>
        <w:tc>
          <w:tcPr>
            <w:tcW w:w="7173" w:type="dxa"/>
            <w:tcBorders>
              <w:top w:val="nil"/>
              <w:left w:val="nil"/>
              <w:bottom w:val="single" w:color="auto" w:sz="4" w:space="0"/>
              <w:right w:val="single" w:color="auto" w:sz="8" w:space="0"/>
            </w:tcBorders>
            <w:vAlign w:val="center"/>
          </w:tcPr>
          <w:p>
            <w:pPr>
              <w:snapToGrid w:val="0"/>
              <w:jc w:val="left"/>
              <w:rPr>
                <w:rFonts w:ascii="宋体" w:hAnsi="宋体" w:cs="宋体"/>
                <w:kern w:val="0"/>
                <w:sz w:val="24"/>
              </w:rPr>
            </w:pPr>
            <w:r>
              <w:rPr>
                <w:rFonts w:hint="eastAsia" w:ascii="宋体" w:hAnsi="宋体" w:cs="宋体"/>
                <w:kern w:val="0"/>
                <w:sz w:val="24"/>
              </w:rPr>
              <w:t>根据投标人的项目实施方案进行评定。</w:t>
            </w:r>
          </w:p>
          <w:p>
            <w:pPr>
              <w:snapToGrid w:val="0"/>
              <w:jc w:val="left"/>
              <w:rPr>
                <w:rFonts w:ascii="宋体" w:hAnsi="宋体" w:cs="宋体"/>
                <w:kern w:val="0"/>
                <w:sz w:val="24"/>
              </w:rPr>
            </w:pPr>
            <w:r>
              <w:rPr>
                <w:rFonts w:hint="eastAsia" w:ascii="宋体" w:hAnsi="宋体" w:cs="宋体"/>
                <w:kern w:val="0"/>
                <w:sz w:val="24"/>
              </w:rPr>
              <w:t>包括但不限于投标人提供的交货时间响应措施、供货进度计划、运输保障措施、货源采购组织措施、配送保障措施、人员组织方案、</w:t>
            </w:r>
            <w:r>
              <w:rPr>
                <w:rFonts w:hint="eastAsia" w:ascii="宋体" w:hAnsi="宋体" w:cs="宋体"/>
                <w:kern w:val="0"/>
                <w:sz w:val="24"/>
                <w:lang w:val="en-US" w:eastAsia="zh-CN"/>
              </w:rPr>
              <w:t>效期、是否备货、新药品临川优势、</w:t>
            </w:r>
            <w:r>
              <w:rPr>
                <w:rFonts w:hint="eastAsia" w:ascii="宋体" w:hAnsi="宋体" w:cs="宋体"/>
                <w:kern w:val="0"/>
                <w:sz w:val="24"/>
              </w:rPr>
              <w:t>安全应急预案、运输配送应急预案、疫情防扩措施、服务过程中与相关单位的配合方式及组织协调方案等方面进行综合评分，完全满足招标文件要求并且切实可行的得</w:t>
            </w:r>
            <w:r>
              <w:rPr>
                <w:rFonts w:hint="eastAsia" w:ascii="宋体" w:hAnsi="宋体" w:cs="宋体"/>
                <w:kern w:val="0"/>
                <w:sz w:val="24"/>
                <w:lang w:val="en-US" w:eastAsia="zh-CN"/>
              </w:rPr>
              <w:t>5</w:t>
            </w:r>
            <w:r>
              <w:rPr>
                <w:rFonts w:hint="eastAsia" w:ascii="宋体" w:hAnsi="宋体" w:cs="宋体"/>
                <w:kern w:val="0"/>
                <w:sz w:val="24"/>
              </w:rPr>
              <w:t>0分，每缺少一项扣4分，每有一项不能满足招标文件需求的扣2分，直至本项分值扣完为止。</w:t>
            </w:r>
          </w:p>
          <w:p>
            <w:pPr>
              <w:widowControl/>
              <w:rPr>
                <w:rFonts w:ascii="宋体" w:hAnsi="宋体" w:cs="宋体"/>
                <w:kern w:val="0"/>
                <w:sz w:val="24"/>
              </w:rPr>
            </w:pPr>
            <w:r>
              <w:rPr>
                <w:rFonts w:hint="eastAsia" w:ascii="宋体" w:hAnsi="宋体" w:cs="宋体"/>
                <w:kern w:val="0"/>
                <w:sz w:val="24"/>
              </w:rPr>
              <w:t>投标人应根据采购需求提供合理可行的相关内容，由评标专家根据投标人提供项目实施方案的实际情况进行打分。</w:t>
            </w:r>
          </w:p>
        </w:tc>
      </w:tr>
      <w:tr>
        <w:tblPrEx>
          <w:tblCellMar>
            <w:top w:w="0" w:type="dxa"/>
            <w:left w:w="108" w:type="dxa"/>
            <w:bottom w:w="0" w:type="dxa"/>
            <w:right w:w="108" w:type="dxa"/>
          </w:tblCellMar>
        </w:tblPrEx>
        <w:trPr>
          <w:trHeight w:val="1020" w:hRule="atLeast"/>
        </w:trPr>
        <w:tc>
          <w:tcPr>
            <w:tcW w:w="506" w:type="dxa"/>
            <w:tcBorders>
              <w:top w:val="nil"/>
              <w:left w:val="single" w:color="auto" w:sz="8"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126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售后服务方案</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15</w:t>
            </w:r>
          </w:p>
        </w:tc>
        <w:tc>
          <w:tcPr>
            <w:tcW w:w="7173" w:type="dxa"/>
            <w:tcBorders>
              <w:top w:val="nil"/>
              <w:left w:val="nil"/>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xml:space="preserve">根据投标人的售后服务方案进行评定。包括但不限于售后服务点设置和咨询电话设置等情况、质量承诺和质量保障措施范围、售后服务保障体系、履行合同能力等方面进行综合评分。完全满足以上售后服务方案评定方面并且满足招标文件要求的得15分，每缺少一项扣3分，每有一项方案不能满足招标文件需求的扣1.5分，直至本项分值扣完为止。 </w:t>
            </w:r>
          </w:p>
          <w:p>
            <w:pPr>
              <w:widowControl/>
              <w:jc w:val="left"/>
              <w:rPr>
                <w:rFonts w:ascii="宋体" w:hAnsi="宋体" w:cs="宋体"/>
                <w:kern w:val="0"/>
                <w:sz w:val="24"/>
              </w:rPr>
            </w:pPr>
            <w:r>
              <w:rPr>
                <w:rFonts w:hint="eastAsia" w:ascii="宋体" w:hAnsi="宋体" w:cs="宋体"/>
                <w:kern w:val="0"/>
                <w:sz w:val="24"/>
              </w:rPr>
              <w:t>投标人应根据采购需求提供合理可行的相关内容，由评标专家根据投标人提供售后服务方案的实际情况进行打分。</w:t>
            </w:r>
          </w:p>
        </w:tc>
      </w:tr>
      <w:tr>
        <w:tblPrEx>
          <w:tblCellMar>
            <w:top w:w="0" w:type="dxa"/>
            <w:left w:w="108" w:type="dxa"/>
            <w:bottom w:w="0" w:type="dxa"/>
            <w:right w:w="108" w:type="dxa"/>
          </w:tblCellMar>
        </w:tblPrEx>
        <w:trPr>
          <w:trHeight w:val="1020" w:hRule="atLeast"/>
        </w:trPr>
        <w:tc>
          <w:tcPr>
            <w:tcW w:w="506" w:type="dxa"/>
            <w:tcBorders>
              <w:top w:val="nil"/>
              <w:left w:val="single" w:color="auto" w:sz="8" w:space="0"/>
              <w:bottom w:val="single" w:color="auto" w:sz="4" w:space="0"/>
              <w:right w:val="single" w:color="auto" w:sz="4" w:space="0"/>
            </w:tcBorders>
            <w:vAlign w:val="center"/>
          </w:tcPr>
          <w:p>
            <w:pPr>
              <w:widowControl/>
              <w:spacing w:line="400" w:lineRule="exact"/>
              <w:jc w:val="left"/>
              <w:rPr>
                <w:rFonts w:hint="eastAsia" w:ascii="宋体" w:hAnsi="宋体" w:eastAsia="宋体" w:cs="宋体"/>
                <w:kern w:val="0"/>
                <w:sz w:val="24"/>
                <w:lang w:eastAsia="zh-CN"/>
              </w:rPr>
            </w:pPr>
            <w:r>
              <w:rPr>
                <w:rFonts w:hint="eastAsia" w:ascii="宋体" w:hAnsi="宋体" w:cs="宋体"/>
                <w:kern w:val="0"/>
                <w:sz w:val="24"/>
                <w:lang w:val="en-US" w:eastAsia="zh-CN"/>
              </w:rPr>
              <w:t>三</w:t>
            </w:r>
          </w:p>
        </w:tc>
        <w:tc>
          <w:tcPr>
            <w:tcW w:w="9146" w:type="dxa"/>
            <w:gridSpan w:val="3"/>
            <w:tcBorders>
              <w:top w:val="single" w:color="auto" w:sz="4" w:space="0"/>
              <w:left w:val="nil"/>
              <w:bottom w:val="single" w:color="auto" w:sz="4" w:space="0"/>
              <w:right w:val="single" w:color="000000" w:sz="8" w:space="0"/>
            </w:tcBorders>
            <w:vAlign w:val="center"/>
          </w:tcPr>
          <w:p>
            <w:pPr>
              <w:widowControl/>
              <w:spacing w:line="400" w:lineRule="exact"/>
              <w:jc w:val="left"/>
              <w:rPr>
                <w:rFonts w:ascii="宋体" w:hAnsi="宋体" w:cs="宋体"/>
                <w:kern w:val="0"/>
                <w:sz w:val="24"/>
              </w:rPr>
            </w:pPr>
            <w:r>
              <w:rPr>
                <w:rFonts w:hint="eastAsia" w:ascii="宋体" w:hAnsi="宋体" w:cs="宋体"/>
                <w:kern w:val="0"/>
                <w:sz w:val="24"/>
              </w:rPr>
              <w:t>商务部分（15分）</w:t>
            </w:r>
          </w:p>
        </w:tc>
      </w:tr>
      <w:tr>
        <w:tblPrEx>
          <w:tblCellMar>
            <w:top w:w="0" w:type="dxa"/>
            <w:left w:w="108" w:type="dxa"/>
            <w:bottom w:w="0" w:type="dxa"/>
            <w:right w:w="108" w:type="dxa"/>
          </w:tblCellMar>
        </w:tblPrEx>
        <w:trPr>
          <w:trHeight w:val="1020" w:hRule="atLeast"/>
        </w:trPr>
        <w:tc>
          <w:tcPr>
            <w:tcW w:w="506"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3</w:t>
            </w:r>
          </w:p>
        </w:tc>
        <w:tc>
          <w:tcPr>
            <w:tcW w:w="12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产品质量</w:t>
            </w:r>
            <w:r>
              <w:rPr>
                <w:rFonts w:hint="eastAsia" w:ascii="宋体" w:hAnsi="宋体" w:cs="宋体"/>
                <w:kern w:val="0"/>
                <w:sz w:val="24"/>
                <w:lang w:val="en-US" w:eastAsia="zh-CN"/>
              </w:rPr>
              <w:t>及账期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73" w:type="dxa"/>
            <w:tcBorders>
              <w:top w:val="single" w:color="auto" w:sz="4" w:space="0"/>
              <w:left w:val="nil"/>
              <w:bottom w:val="single" w:color="auto" w:sz="4" w:space="0"/>
              <w:right w:val="single" w:color="auto" w:sz="8" w:space="0"/>
            </w:tcBorders>
            <w:shd w:val="clear" w:color="000000" w:fill="FFFFFF"/>
          </w:tcPr>
          <w:p>
            <w:pPr>
              <w:spacing w:before="3"/>
              <w:jc w:val="left"/>
              <w:rPr>
                <w:rFonts w:hint="default" w:ascii="宋体" w:hAnsi="宋体" w:eastAsia="宋体" w:cs="宋体"/>
                <w:kern w:val="0"/>
                <w:sz w:val="24"/>
                <w:lang w:val="en-US" w:eastAsia="zh-CN"/>
              </w:rPr>
            </w:pPr>
            <w:r>
              <w:rPr>
                <w:rFonts w:hint="eastAsia" w:ascii="宋体" w:hAnsi="宋体" w:cs="宋体"/>
                <w:kern w:val="0"/>
                <w:sz w:val="24"/>
              </w:rPr>
              <w:t xml:space="preserve">完全符合招标文件技术、服务要求没有负偏离的得5分，与招标文件要求有负偏离的，技术指标每负偏离一项扣0.5分直至此项分值扣完为止。 </w:t>
            </w:r>
            <w:r>
              <w:rPr>
                <w:rFonts w:hint="eastAsia" w:ascii="宋体" w:hAnsi="宋体" w:cs="宋体"/>
                <w:kern w:val="0"/>
                <w:sz w:val="24"/>
                <w:lang w:val="en-US" w:eastAsia="zh-CN"/>
              </w:rPr>
              <w:t>账期三个月或者账期金额超过300万元的得5分，与招标文件账期较少的或者金额倍数减少的扣2分直至此分数扣完为止。</w:t>
            </w:r>
          </w:p>
          <w:p>
            <w:pPr>
              <w:pStyle w:val="93"/>
              <w:spacing w:line="240" w:lineRule="auto"/>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注：根据投标人提供的《投标产品技术偏离表》及证明材料进行评分。</w:t>
            </w:r>
          </w:p>
        </w:tc>
      </w:tr>
      <w:tr>
        <w:tblPrEx>
          <w:tblCellMar>
            <w:top w:w="0" w:type="dxa"/>
            <w:left w:w="108" w:type="dxa"/>
            <w:bottom w:w="0" w:type="dxa"/>
            <w:right w:w="108" w:type="dxa"/>
          </w:tblCellMar>
        </w:tblPrEx>
        <w:trPr>
          <w:trHeight w:val="1020" w:hRule="atLeast"/>
        </w:trPr>
        <w:tc>
          <w:tcPr>
            <w:tcW w:w="506"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4</w:t>
            </w:r>
          </w:p>
        </w:tc>
        <w:tc>
          <w:tcPr>
            <w:tcW w:w="12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企业信誉</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c>
          <w:tcPr>
            <w:tcW w:w="7173" w:type="dxa"/>
            <w:tcBorders>
              <w:top w:val="single" w:color="auto" w:sz="4" w:space="0"/>
              <w:left w:val="nil"/>
              <w:bottom w:val="single" w:color="auto" w:sz="4" w:space="0"/>
              <w:right w:val="single" w:color="auto" w:sz="8" w:space="0"/>
            </w:tcBorders>
            <w:shd w:val="clear" w:color="000000" w:fill="FFFFFF"/>
          </w:tcPr>
          <w:p>
            <w:pPr>
              <w:spacing w:before="3"/>
              <w:jc w:val="left"/>
              <w:rPr>
                <w:rFonts w:ascii="宋体" w:hAnsi="宋体" w:cs="宋体"/>
                <w:kern w:val="0"/>
                <w:sz w:val="24"/>
              </w:rPr>
            </w:pPr>
            <w:r>
              <w:rPr>
                <w:rFonts w:ascii="宋体" w:hAnsi="宋体" w:cs="宋体"/>
                <w:kern w:val="0"/>
                <w:sz w:val="24"/>
              </w:rPr>
              <w:t>投标人</w:t>
            </w:r>
            <w:r>
              <w:rPr>
                <w:rFonts w:hint="eastAsia" w:ascii="宋体" w:hAnsi="宋体" w:cs="宋体"/>
                <w:kern w:val="0"/>
                <w:sz w:val="24"/>
              </w:rPr>
              <w:t>提供企业信用等级3A证书得1分，没有不得分。</w:t>
            </w:r>
          </w:p>
          <w:p>
            <w:pPr>
              <w:pStyle w:val="2"/>
              <w:rPr>
                <w:rFonts w:ascii="宋体" w:hAnsi="宋体" w:eastAsia="宋体" w:cs="宋体"/>
                <w:color w:val="auto"/>
              </w:rPr>
            </w:pPr>
            <w:r>
              <w:rPr>
                <w:rFonts w:hint="eastAsia" w:ascii="宋体" w:hAnsi="宋体" w:eastAsia="宋体" w:cs="宋体"/>
                <w:color w:val="auto"/>
              </w:rPr>
              <w:t>质量管理体系认证证书、</w:t>
            </w:r>
            <w:r>
              <w:rPr>
                <w:rFonts w:ascii="宋体" w:hAnsi="宋体" w:eastAsia="宋体" w:cs="宋体"/>
                <w:color w:val="auto"/>
              </w:rPr>
              <w:t>职业健康与安全管理体系</w:t>
            </w:r>
            <w:r>
              <w:rPr>
                <w:rFonts w:hint="eastAsia" w:ascii="宋体" w:hAnsi="宋体" w:eastAsia="宋体" w:cs="宋体"/>
                <w:color w:val="auto"/>
              </w:rPr>
              <w:t>认证证书，每提供一个加1分。</w:t>
            </w:r>
          </w:p>
          <w:p>
            <w:pPr>
              <w:pStyle w:val="2"/>
              <w:rPr>
                <w:rFonts w:ascii="宋体" w:hAnsi="宋体" w:eastAsia="宋体" w:cs="宋体"/>
                <w:color w:val="auto"/>
              </w:rPr>
            </w:pPr>
          </w:p>
        </w:tc>
      </w:tr>
    </w:tbl>
    <w:p>
      <w:pPr>
        <w:spacing w:line="520" w:lineRule="exact"/>
        <w:ind w:right="18"/>
        <w:rPr>
          <w:rFonts w:ascii="宋体" w:hAnsi="宋体" w:cs="宋体"/>
          <w:kern w:val="0"/>
          <w:sz w:val="24"/>
        </w:rPr>
      </w:pPr>
    </w:p>
    <w:p>
      <w:pPr>
        <w:pStyle w:val="2"/>
        <w:rPr>
          <w:rFonts w:hint="eastAsia" w:eastAsia="黑体"/>
          <w:lang w:val="zh-CN" w:eastAsia="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3"/>
        <w:jc w:val="center"/>
      </w:pPr>
      <w:bookmarkStart w:id="175" w:name="_Toc87205271"/>
      <w:r>
        <w:rPr>
          <w:rFonts w:hint="eastAsia"/>
        </w:rPr>
        <w:t>第七章 采购需求一览表</w:t>
      </w:r>
      <w:bookmarkEnd w:id="175"/>
    </w:p>
    <w:p/>
    <w:bookmarkEnd w:id="105"/>
    <w:bookmarkEnd w:id="106"/>
    <w:bookmarkEnd w:id="107"/>
    <w:p>
      <w:pPr>
        <w:jc w:val="center"/>
      </w:pPr>
      <w:r>
        <w:rPr>
          <w:rFonts w:hint="eastAsia"/>
          <w:b/>
          <w:sz w:val="28"/>
          <w:szCs w:val="28"/>
          <w:lang w:val="en-US" w:eastAsia="zh-CN"/>
        </w:rPr>
        <w:t>西藏康城肿瘤医院</w:t>
      </w:r>
      <w:r>
        <w:rPr>
          <w:rFonts w:hint="eastAsia"/>
          <w:b/>
          <w:sz w:val="28"/>
          <w:szCs w:val="28"/>
          <w:lang w:eastAsia="zh-CN"/>
        </w:rPr>
        <w:t>药品</w:t>
      </w:r>
      <w:r>
        <w:rPr>
          <w:rFonts w:hint="eastAsia"/>
          <w:b/>
          <w:sz w:val="28"/>
          <w:szCs w:val="28"/>
        </w:rPr>
        <w:t>采购明细表</w:t>
      </w:r>
    </w:p>
    <w:tbl>
      <w:tblPr>
        <w:tblStyle w:val="30"/>
        <w:tblW w:w="781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10"/>
        <w:gridCol w:w="1096"/>
        <w:gridCol w:w="656"/>
        <w:gridCol w:w="656"/>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药品名称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药品规格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厂家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价格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医保编码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注射用唑来膦酸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维生素K1注射液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人血白蛋白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注射用亚胺培南西司他丁钠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肠内营养粉剂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注射用帕瑞昔布钠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注射用生长抑素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依托泊苷注射液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注射用顺铂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注射用雷替曲塞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盐酸艾司洛尔注射液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注射用胸腺法新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特瑞普利单抗注射液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双歧杆菌乳杆菌三联活菌片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阿瑞匹坦胶囊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甲磺酸阿帕替尼片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信迪利单抗注射液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注射用培美曲塞二钠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托伐普坦片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注射用水溶性维生素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甲磺酸仑伐替尼胶囊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注射用硫酸长春新碱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注射用甲泼尼龙琥珀酸钠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注射用奥沙利铂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肠内营养乳剂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盐酸异丙肾上腺素注射液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地舒单抗注射液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盐酸伊立替康注射液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替吉奥胶囊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注射用盐酸吉西他滨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硝酸甘油注射液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盐酸胺碘酮注射液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多烯磷脂酰胆碱注射液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替雷利珠单抗注射液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注射用奥美拉唑钠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注射用重组人白介素-11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L-谷氨酰胺呱仑酸钠颗粒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多西他赛注射液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注射用氨磷汀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卡铂注射液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醋酸甲地孕酮分散片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注射用谷胱甘肽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甲苯磺酸多纳非尼片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来曲唑片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注射用头孢曲松钠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盐酸多柔比星脂质体注射液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甲氨蝶呤片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阴道用乳杆菌活菌胶囊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注射用头孢他啶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普瑞巴林胶囊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吸入用布地奈德混悬液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复方聚乙二醇电解质散（II）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速效救心丸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硝酸咪康唑栓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重组人粒细胞刺激因子注射液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注射用门冬氨酸鸟氨酸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阿德福韦酯片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复方丹参片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盐酸多巴酚丁胺注射液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甲硫酸新斯的明注射液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氟比洛芬酯注射液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地西泮注射液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芬太尼透皮贴剂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注射用卡瑞利珠单抗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甲磺酸奥希替尼片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碘海醇注射液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枸橼酸舒芬太尼注射液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注射用曲妥珠单抗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碘克沙醇注射液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保妇康栓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盐酸昂丹司琼注射液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桂枝茯苓胶囊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克霉唑栓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螺内酯片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罗红霉素胶囊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盐酸罗哌卡因注射液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硫酸吗啡栓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诺迪康胶囊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呋塞米片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注射用左亚叶酸钙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酒石酸美托洛尔片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盐酸乌拉地尔注射液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注射用胸腺五肽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氟哌利多注射液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盐酸吗啡注射液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硝酸甘油片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丙泊酚乳状注射液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抗病毒颗粒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盐酸纳布啡注射液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咪达唑仑注射液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注射用苯磺顺阿曲库铵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卡培他滨片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地佐辛注射液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促肝细胞生长素注射液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丙泊酚中/长链脂肪乳注射液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吸入用七氟烷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复方氨基酸注射液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利可君片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高山红景天口服液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注射用紫杉醇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田七痛经胶囊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消糜栓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硝呋太尔制霉素阴道软胶囊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盐酸普萘洛尔片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塞来昔布胶囊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盐酸托烷司琼注射液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阿托伐他汀钙片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硫酸吗啡缓释片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羟乙基淀粉130/0.4氯化钠注射液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瑞格列奈片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奥氮平片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依诺肝素钠注射液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复方盐酸伪麻黄碱缓释胶囊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多索茶碱片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甲硝唑片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开塞露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注射用盐酸瑞芬太尼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盐酸吗啡缓释片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垂体后叶注射液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酒石酸布托啡诺注射液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贝伐珠单抗注射液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甲磺酸奥西替尼片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注射用环磷酰胺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阿昔洛韦乳膏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二甲硅油乳剂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硫酸阿托品注射液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云南白药胶囊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安神补脑液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氯化琥珀胆碱注射液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盐酸洛贝林注射液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复方氨林巴比妥注射液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榄香烯注射液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重组人血小板生成素注射液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注射用维库溴铵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头孢拉定胶囊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盐酸曲马多注射液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格列齐特片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注射用盐酸头孢吡肟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聚乙二醇干扰素a-2a注射液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盐酸阿芬太尼注射液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盐酸利多卡因注射液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钠钾镁钙葡萄糖注射液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注射用六氟化硫微泡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氟康唑氯化钠注射液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西红花总苷片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盐酸麻黄碱注射液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地榆升白片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去乙酰毛花苷注射液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盐酸曲马多片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重酒石酸间羟胺注射液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甲钴胺注射液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硫酸沙丁胺醇吸入气雾剂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西瓜霜清咽含片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盐酸溴已新片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甲钴胺片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硫酸钡（II型）干混悬剂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氟马西尼注射液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硫培非格司亭注射液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重组人促红素注射液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乳果糖口服溶液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蒙脱石散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盐酸多西环素片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氟维司群注射液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多糖铁复合物胶囊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注射用醋酸奥曲肽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注射用盐酸去甲万古霉素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尼可刹米注射液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乙酰半胱氨酸片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格列美脲片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双氯芬酸钠肠溶片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胰岛素注射液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罗库溴铵注射液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阿替利珠单抗注射液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羟乙基淀粉130/0.4电解质注射液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盐酸去氧肾上腺素注射液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酚磺乙胺注射液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金刚藤胶囊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氯雷他定片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妇炎洁植物本草抑菌洗液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利巴韦林注射液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盐酸右美托咪定注射液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枸橼酸芬太尼注射液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注射用重组人白介素-II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维生素B6注射液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复方阿胶浆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复方甘草酸苷片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注射用醋酸亮丙瑞林缓释微球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注射用乌司他丁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盐酸肾上腺素注射液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利伐沙班片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妇炎康片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富马酸比索洛尔片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高原安0凡克胶囊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重组人干扰素a2b注射液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盐酸氢吗啡酮注射液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氟尿嘧啶注射液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帕妥珠单抗注射液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甲磺酸酚妥拉明注射液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咖啡酸片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阿奇霉素分散片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甲硝唑栓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逍遥丸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盐酸阿来替尼胶囊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盐酸甲氧氯普胺注射液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紫杉醇注射液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甘草酸二铵注射液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肝素钠注射液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盐酸多巴胺注射液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伤湿止痛膏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天和骨通贴膏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三金片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复方甘草口服溶液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注射用丁二磺酸腺苷蛋氨酸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枸橼酸莫沙必利片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别嘌醇片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硝苯地平控释片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重酒石酸去甲肾上腺素注射液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复方醋酸地塞米松乳膏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维生素C注射液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氨茶碱注射液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氯化钾缓释片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麝香痔疮栓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西黄丸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钆喷酸葡胺注射液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西咪替丁注射液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妥布霉素滴眼液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灭菌注射用水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瑞舒伐他汀钙片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妇科千金片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呋塞米注射液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蓝清牌高锰酸钾消毒片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健胃消食片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盐酸纳洛酮注射液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醋酸地塞米松片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复方苦参注射液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注射用糜蛋白酶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维生素B2片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阿卡波糖片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维生素B1片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氯化钾注射液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阿司匹林肠溶片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氢氯噻嗪片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脂肪乳氨基酸（17）葡萄糖（11%）注射液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急支糖浆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盐酸氨溴索口服溶液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马来酸氯苯那敏片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西地碘含片（华素片）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胶体果胶铋胶囊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消炎利胆片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联苯双脂滴丸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艾司奥美拉唑镁肠溶片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红霉素软膏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碳酸氢钠注射液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甲氧氯普胺片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复方黄连素片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盐酸氨溴索注射液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地塞米松磷酸钠滴眼液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盐酸吗啉胍片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碳酸钙D3片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维生素B1注射液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盐酸戊乙奎醚注射液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硫酸镁注射液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康艾注射液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孟鲁司特钠片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苯磺酸氨氯地平片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注射用盐酸表柔比星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洁尔阴洗液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板蓝根颗粒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颠茄片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阿昔洛韦滴眼液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多酶片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氟康唑片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多种微量元素注射液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丁二磺酸腺苷蛋氨酸肠溶片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复方丹参滴丸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盐酸左氧氟沙星片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复方氨酚烷胺片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盐酸消旋山莨菪碱注射液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氨溴特罗口服溶液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红霉素眼膏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戊酸雌二醇片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氨甲苯酸注射液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维生素C片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盐酸雷尼替丁胶囊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多维元素片（21）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地西泮片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氧氟沙星滴耳液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正红花油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藿香正气水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左甲状腺素钠片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盐酸洛哌丁胺胶囊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布洛芬缓释胶囊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盐酸二甲双胍片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葡萄糖酸钙注射液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吲哚美辛栓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碳酸氢钠片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替硝唑片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门冬氨酸钾镁注射液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注射用哌拉西林钠他唑巴坦钠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雷贝拉唑钠肠溶片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注射用哌拉西林他唑巴坦钠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注射用丙氨酰谷氨酰胺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注射用卡铂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碘化油注射液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注射用头孢哌酮钠舒巴坦钠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依西美坦片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注射用青霉素钠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硫糖铝口服混悬液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硝酸咪康唑乳膏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辛伐他汀片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注射用脂溶性维生素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缬沙坦胶囊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克拉霉素片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铝碳酸镁片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恩替卡韦片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黄芪注射液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参麦注射液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复方氯己定含漱液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拉米夫定片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叶酸片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奥美拉唑肠溶胶囊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吸入用乙酰半胱氨酸溶液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马来酸依那普利片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浓氯化钠注射液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多潘立酮片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伊曲康唑胶囊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卡马西平片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复合维生素B片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注射用更昔洛韦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盐酸帕罗西汀片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头孢克肟胶囊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苯溴马隆片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咳特灵胶囊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云南白药气雾剂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醋酸泼尼松片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生脉饮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川贝枇杷糖浆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亚甲蓝注射液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曲安奈德益康唑乳膏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护肝片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黄体酮软胶囊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阿莫西林胶囊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氯霉素滴眼液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硝苯地平片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注射用阿奇霉素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硫酸庆大霉素注射液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盐酸坦索罗辛缓释胶囊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50%葡萄糖注射液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地塞米松磷酸钠注射液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黄体酮注射液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 葡萄糖氯化钠注射液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5%葡萄糖氯化钠注射液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盐酸莫西沙星片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多烯磷脂酰胆碱胶囊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甘油果糖氯化钠注射液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制霉素片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0.9% 氯化钠注射液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肌苷注射液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盐酸左氧氟沙星氯化钠注射液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奥硝唑氯化钠注射液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 葡萄糖注射液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盐酸贝那普利片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盐酸异丙嗪注射液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贞芪扶正颗粒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大黄碳酸氢钠片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0.1%玻璃酸钠滴眼液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氢化可的松注射液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注射用白眉蛇毒血凝酶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碘解磷定注射液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硫酸氢氯吡格雷片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阿苯达唑片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卡托普利片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生理氯化纳溶液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蔗糖铁注射液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中/长链脂肪乳注射液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地衣芽孢杆菌活菌胶囊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妇血康颗粒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益母草颗粒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（玻瓶）甘露醇注射液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（塑瓶）5%葡萄糖注射液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醒脑静注射液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维生素B6片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盐酸左布比卡因注射液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非诺贝特胶囊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克林霉素磷酸酯注射液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5%葡萄糖注射液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甲硝唑氯化钠注射液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玻璃酸钠滴眼液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吲哚美辛肠溶片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尼美舒利分散片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注射用氨芐西林钠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复方氯化钠注射液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单硝酸异山梨酯片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维生素E软胶囊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定坤丹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盐酸苯海拉明注射液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肌苷片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葡醛内脂片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秋水仙碱片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缩宫素注射液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生理氯化钠溶液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比亚芬(放射皮肤防护喷剂）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参芪扶正注射液/颗粒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复方皂矾丸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柴胡注射液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槐耳颗粒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平消片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丹红注射液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华蟾素胶囊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鸦胆子油乳注射液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小牛脾提取物注射液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双环醇片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枸櫞酸他莫昔芬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双花片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瑞戈非尼片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安罗替尼胶囊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西妥昔单抗注射液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帕洛诺司琼胶囊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康复新液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奥拉帕利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帕米帕利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托拉塞米片/注射液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地奥司明片甘露聚糖肽注射液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谷氨酰胺颗粒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熊去氧胆酸胶囊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生血宝合剂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复方乳酸钠葡萄糖注射液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甲氨蝶呤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氟尿嘧啶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卡培他滨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替吉奥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米托蒽醌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雷替曲塞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培美曲塞二钠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替加氟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曲氟脲苷替匹嘧啶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阿糖胞苷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阿扎胞苷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氟达拉滨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克拉屈滨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吉西他滨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地西他滨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硫唑嘌呤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苯丁酸氮芥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环磷酰胺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异环磷酰胺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替莫唑胺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复方环磷酰胺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10"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苯达莫司汀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雌莫司汀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司莫司汀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白消安针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塞替派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达卡巴嗪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奥沙利铂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奥沙利铂甘露醇注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射液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洛铂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奈达铂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培门冬酶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左旋门冬酰胺酶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门冬酰胺酶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甲磺酸艾立布林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来那度胺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沙利度胺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三氧化二砷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伊立替康</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托泊替康</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羟喜树碱</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依托泊苷</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替尼泊苷</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放线菌素</w:t>
            </w:r>
            <w:r>
              <w:rPr>
                <w:rFonts w:hint="default" w:ascii="Times New Roman" w:hAnsi="Times New Roman" w:eastAsia="宋体" w:cs="Times New Roman"/>
                <w:i w:val="0"/>
                <w:iCs w:val="0"/>
                <w:color w:val="000000"/>
                <w:kern w:val="0"/>
                <w:sz w:val="22"/>
                <w:szCs w:val="22"/>
                <w:u w:val="none"/>
                <w:lang w:val="en-US" w:eastAsia="zh-CN" w:bidi="ar"/>
              </w:rPr>
              <w:t>D</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博来霉素</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丝裂霉素</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平阳霉素</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表柔比星</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柔红霉素</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阿柔比星</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吡柔比星</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多柔比星</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多柔比星脂质体</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伊达比星</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长春新碱</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长春地辛</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长春瑞滨</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紫杉醇</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紫杉醇脂质体</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（白蛋白结合型）</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多西他赛</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高三尖杉酯碱</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吉非替尼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埃克替尼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厄洛替尼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达可替尼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阿美替尼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阿法替尼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伏美替尼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奥希替尼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克唑替尼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阿来替尼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恩沙替尼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塞瑞替尼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伊马替尼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达沙替尼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尼洛替尼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阿昔替尼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瑞戈非尼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安罗替尼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呋喹替尼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阿帕替尼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索拉非尼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舒尼替尼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仑伐替尼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索凡替尼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培唑帕尼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尼拉帕利</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氟唑帕利</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拉帕替尼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吡咯替尼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奈拉替尼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维莫非尼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达拉非尼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曲美替尼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伊布替尼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奥布替尼</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依维莫司</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尼妥珠单抗</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西妥昔单抗</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曲妥珠单抗</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伊尼妥单抗</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恩美曲妥珠单抗</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帕妥珠单抗</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利妥昔单抗</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贝伐珠单抗</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雷珠单抗注射液</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重组人血管内皮抑</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制素</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达雷妥尤单抗注射</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液</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磷酸芦可替尼片</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哌柏西利</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硼替佐米针</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伊沙佐米</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西达本胺</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美妥昔单抗</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维布妥昔单抗</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帕博利珠单抗</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纳武利尤单抗</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度伐利尤单抗</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阿替利珠单抗</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特瑞普利单抗</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替雷利珠单抗</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信迪利单抗</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卡瑞利珠单抗</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阿那曲唑</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来曲唑</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依西美坦</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他莫昔芬</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盐酸雷洛昔芬片</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氟维司群</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托瑞米芬</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比卡鲁胺</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恩扎卢胺</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阿比特龙</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亮丙瑞林微球</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戈舍瑞林</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甲地孕酮</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醋酸奥曲肽微球针</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醋酸地加瑞克</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氟他胺片</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戈那瑞林</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甲羟孕酮</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醋酸曲普瑞林</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双羟萘酸曲普瑞林</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重组人干扰素</w:t>
            </w:r>
            <w:r>
              <w:rPr>
                <w:rFonts w:hint="default" w:ascii="Times New Roman" w:hAnsi="Times New Roman" w:eastAsia="宋体" w:cs="Times New Roman"/>
                <w:i w:val="0"/>
                <w:iCs w:val="0"/>
                <w:color w:val="000000"/>
                <w:kern w:val="0"/>
                <w:sz w:val="22"/>
                <w:szCs w:val="22"/>
                <w:u w:val="none"/>
                <w:lang w:val="en-US" w:eastAsia="zh-CN" w:bidi="ar"/>
              </w:rPr>
              <w:t>α1b</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重组人干扰素</w:t>
            </w:r>
            <w:r>
              <w:rPr>
                <w:rFonts w:hint="default" w:ascii="Times New Roman" w:hAnsi="Times New Roman" w:eastAsia="宋体" w:cs="Times New Roman"/>
                <w:i w:val="0"/>
                <w:iCs w:val="0"/>
                <w:color w:val="000000"/>
                <w:kern w:val="0"/>
                <w:sz w:val="22"/>
                <w:szCs w:val="22"/>
                <w:u w:val="none"/>
                <w:lang w:val="en-US" w:eastAsia="zh-CN" w:bidi="ar"/>
              </w:rPr>
              <w:t>α2b</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氯氧喹</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重组人白介素</w:t>
            </w:r>
            <w:r>
              <w:rPr>
                <w:rFonts w:hint="default" w:ascii="Times New Roman" w:hAnsi="Times New Roman" w:eastAsia="宋体" w:cs="Times New Roman"/>
                <w:i w:val="0"/>
                <w:iCs w:val="0"/>
                <w:color w:val="000000"/>
                <w:kern w:val="0"/>
                <w:sz w:val="22"/>
                <w:szCs w:val="22"/>
                <w:u w:val="none"/>
                <w:lang w:val="en-US" w:eastAsia="zh-CN" w:bidi="ar"/>
              </w:rPr>
              <w:t>-2</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重组人白介素</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31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维 </w:t>
            </w:r>
            <w:r>
              <w:rPr>
                <w:rFonts w:hint="default" w:ascii="Times New Roman" w:hAnsi="Times New Roman" w:eastAsia="宋体" w:cs="Times New Roman"/>
                <w:i w:val="0"/>
                <w:iCs w:val="0"/>
                <w:color w:val="000000"/>
                <w:kern w:val="0"/>
                <w:sz w:val="22"/>
                <w:szCs w:val="22"/>
                <w:u w:val="none"/>
                <w:lang w:val="en-US" w:eastAsia="zh-CN" w:bidi="ar"/>
              </w:rPr>
              <w:t xml:space="preserve">A </w:t>
            </w:r>
            <w:r>
              <w:rPr>
                <w:rFonts w:hint="eastAsia" w:ascii="宋体" w:hAnsi="宋体" w:eastAsia="宋体" w:cs="宋体"/>
                <w:i w:val="0"/>
                <w:iCs w:val="0"/>
                <w:color w:val="000000"/>
                <w:kern w:val="0"/>
                <w:sz w:val="22"/>
                <w:szCs w:val="22"/>
                <w:u w:val="none"/>
                <w:lang w:val="en-US" w:eastAsia="zh-CN" w:bidi="ar"/>
              </w:rPr>
              <w:t>酸</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水飞蓟素胶囊</w:t>
            </w:r>
          </w:p>
        </w:tc>
        <w:tc>
          <w:tcPr>
            <w:tcW w:w="1096" w:type="dxa"/>
            <w:tcBorders>
              <w:top w:val="nil"/>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备注：以上清单内容的所有剂型、规格以及以上的同类产品均可以投标</w:t>
            </w:r>
          </w:p>
        </w:tc>
      </w:tr>
    </w:tbl>
    <w:p>
      <w:pPr>
        <w:pStyle w:val="55"/>
      </w:pPr>
    </w:p>
    <w:sectPr>
      <w:footerReference r:id="rId17" w:type="default"/>
      <w:pgSz w:w="11906" w:h="16838"/>
      <w:pgMar w:top="1418" w:right="1418" w:bottom="1418" w:left="1418" w:header="737" w:footer="737"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ArialMT">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Calisto MT">
    <w:altName w:val="Segoe Print"/>
    <w:panose1 w:val="0204060305050503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28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4"/>
      </w:rPr>
    </w:pPr>
    <w:r>
      <w:fldChar w:fldCharType="begin"/>
    </w:r>
    <w:r>
      <w:rPr>
        <w:rStyle w:val="34"/>
      </w:rPr>
      <w:instrText xml:space="preserve">PAGE  </w:instrText>
    </w:r>
    <w:r>
      <w:fldChar w:fldCharType="end"/>
    </w:r>
  </w:p>
  <w:p>
    <w:pPr>
      <w:pStyle w:val="2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page" w:x="9442" w:yAlign="center"/>
      <w:rPr>
        <w:rStyle w:val="34"/>
        <w:rFonts w:ascii="宋体"/>
        <w:sz w:val="28"/>
        <w:szCs w:val="28"/>
      </w:rPr>
    </w:pPr>
    <w:r>
      <w:rPr>
        <w:rFonts w:ascii="宋体" w:hAnsi="宋体"/>
        <w:sz w:val="28"/>
        <w:szCs w:val="28"/>
      </w:rPr>
      <w:fldChar w:fldCharType="begin"/>
    </w:r>
    <w:r>
      <w:rPr>
        <w:rStyle w:val="34"/>
        <w:rFonts w:ascii="宋体" w:hAnsi="宋体"/>
        <w:sz w:val="28"/>
        <w:szCs w:val="28"/>
      </w:rPr>
      <w:instrText xml:space="preserve">PAGE  </w:instrText>
    </w:r>
    <w:r>
      <w:rPr>
        <w:rFonts w:ascii="宋体" w:hAnsi="宋体"/>
        <w:sz w:val="28"/>
        <w:szCs w:val="28"/>
      </w:rPr>
      <w:fldChar w:fldCharType="separate"/>
    </w:r>
    <w:r>
      <w:rPr>
        <w:rStyle w:val="34"/>
        <w:rFonts w:ascii="宋体" w:hAnsi="宋体"/>
        <w:sz w:val="28"/>
        <w:szCs w:val="28"/>
      </w:rPr>
      <w:t>- 1 -</w:t>
    </w:r>
    <w:r>
      <w:rPr>
        <w:rFonts w:ascii="宋体" w:hAnsi="宋体"/>
        <w:sz w:val="28"/>
        <w:szCs w:val="28"/>
      </w:rPr>
      <w:fldChar w:fldCharType="end"/>
    </w:r>
  </w:p>
  <w:p>
    <w:pPr>
      <w:pStyle w:val="21"/>
      <w:ind w:right="360"/>
      <w:jc w:val="center"/>
    </w:pPr>
  </w:p>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page" w:x="1892" w:y="21"/>
      <w:rPr>
        <w:rStyle w:val="34"/>
        <w:rFonts w:ascii="宋体"/>
        <w:sz w:val="28"/>
        <w:szCs w:val="28"/>
      </w:rPr>
    </w:pPr>
    <w:r>
      <w:rPr>
        <w:rFonts w:ascii="宋体" w:hAnsi="宋体"/>
        <w:sz w:val="28"/>
        <w:szCs w:val="28"/>
      </w:rPr>
      <w:fldChar w:fldCharType="begin"/>
    </w:r>
    <w:r>
      <w:rPr>
        <w:rStyle w:val="34"/>
        <w:rFonts w:ascii="宋体" w:hAnsi="宋体"/>
        <w:sz w:val="28"/>
        <w:szCs w:val="28"/>
      </w:rPr>
      <w:instrText xml:space="preserve">PAGE  </w:instrText>
    </w:r>
    <w:r>
      <w:rPr>
        <w:rFonts w:ascii="宋体" w:hAnsi="宋体"/>
        <w:sz w:val="28"/>
        <w:szCs w:val="28"/>
      </w:rPr>
      <w:fldChar w:fldCharType="separate"/>
    </w:r>
    <w:r>
      <w:rPr>
        <w:rStyle w:val="34"/>
        <w:rFonts w:ascii="宋体" w:hAnsi="宋体"/>
        <w:sz w:val="28"/>
        <w:szCs w:val="28"/>
      </w:rPr>
      <w:t>- 8 -</w:t>
    </w:r>
    <w:r>
      <w:rPr>
        <w:rFonts w:ascii="宋体" w:hAnsi="宋体"/>
        <w:sz w:val="28"/>
        <w:szCs w:val="28"/>
      </w:rPr>
      <w:fldChar w:fldCharType="end"/>
    </w:r>
  </w:p>
  <w:p>
    <w:pPr>
      <w:pStyle w:val="2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17567"/>
      <w:docPartObj>
        <w:docPartGallery w:val="autotext"/>
      </w:docPartObj>
    </w:sdtPr>
    <w:sdtContent>
      <w:p>
        <w:pPr>
          <w:pStyle w:val="21"/>
          <w:jc w:val="center"/>
        </w:pPr>
        <w:r>
          <w:fldChar w:fldCharType="begin"/>
        </w:r>
        <w:r>
          <w:instrText xml:space="preserve"> PAGE   \* MERGEFORMAT </w:instrText>
        </w:r>
        <w:r>
          <w:fldChar w:fldCharType="separate"/>
        </w:r>
        <w:r>
          <w:rPr>
            <w:lang w:val="zh-CN"/>
          </w:rPr>
          <w:t>41</w:t>
        </w:r>
        <w:r>
          <w:rPr>
            <w:lang w:val="zh-CN"/>
          </w:rPr>
          <w:fldChar w:fldCharType="end"/>
        </w:r>
      </w:p>
    </w:sdtContent>
  </w:sdt>
  <w:p>
    <w:pPr>
      <w:pStyle w:val="21"/>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4"/>
      </w:rPr>
    </w:pPr>
    <w:r>
      <w:fldChar w:fldCharType="begin"/>
    </w:r>
    <w:r>
      <w:rPr>
        <w:rStyle w:val="34"/>
      </w:rPr>
      <w:instrText xml:space="preserve">PAGE  </w:instrText>
    </w:r>
    <w:r>
      <w:fldChar w:fldCharType="end"/>
    </w:r>
  </w:p>
  <w:p>
    <w:pPr>
      <w:pStyle w:val="21"/>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8"/>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a:effectLst/>
                    </wps:spPr>
                    <wps:txbx>
                      <w:txbxContent>
                        <w:p>
                          <w:pPr>
                            <w:pStyle w:val="21"/>
                          </w:pPr>
                          <w:r>
                            <w:fldChar w:fldCharType="begin"/>
                          </w:r>
                          <w:r>
                            <w:instrText xml:space="preserve"> PAGE  \* MERGEFORMAT </w:instrText>
                          </w:r>
                          <w:r>
                            <w:fldChar w:fldCharType="separate"/>
                          </w:r>
                          <w:r>
                            <w:t>165</w:t>
                          </w:r>
                          <w:r>
                            <w:fldChar w:fldCharType="end"/>
                          </w:r>
                        </w:p>
                      </w:txbxContent>
                    </wps:txbx>
                    <wps:bodyPr wrap="none" lIns="0" tIns="0" rIns="0" bIns="0">
                      <a:spAutoFit/>
                    </wps:bodyPr>
                  </wps:wsp>
                </a:graphicData>
              </a:graphic>
            </wp:anchor>
          </w:drawing>
        </mc:Choice>
        <mc:Fallback>
          <w:pict>
            <v:shape id="文本框 8"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AzHgNQAAAADAQAADwAAAAAAAAABACAAAAAi&#10;AAAAZHJzL2Rvd25yZXYueG1sUEsBAhQAFAAAAAgAh07iQHsYjLjVAQAAowMAAA4AAAAAAAAAAQAg&#10;AAAAIwEAAGRycy9lMm9Eb2MueG1sUEsFBgAAAAAGAAYAWQEAAGoFAAAAAA==&#10;">
              <v:fill on="f" focussize="0,0"/>
              <v:stroke on="f" weight="1.2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165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lvlText w:val="%1."/>
      <w:lvlJc w:val="left"/>
      <w:pPr>
        <w:tabs>
          <w:tab w:val="left" w:pos="840"/>
        </w:tabs>
        <w:ind w:left="1180" w:hanging="340"/>
      </w:pPr>
      <w:rPr>
        <w:rFonts w:hint="eastAsia"/>
      </w:rPr>
    </w:lvl>
    <w:lvl w:ilvl="1" w:tentative="0">
      <w:start w:val="1"/>
      <w:numFmt w:val="decimal"/>
      <w:lvlText w:val="%2."/>
      <w:lvlJc w:val="left"/>
      <w:pPr>
        <w:tabs>
          <w:tab w:val="left" w:pos="420"/>
        </w:tabs>
        <w:ind w:left="760" w:hanging="340"/>
      </w:pPr>
      <w:rPr>
        <w:rFonts w:hint="eastAsia"/>
      </w:rPr>
    </w:lvl>
    <w:lvl w:ilvl="2" w:tentative="0">
      <w:start w:val="1"/>
      <w:numFmt w:val="japaneseCounting"/>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9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006"/>
    <w:rsid w:val="00003796"/>
    <w:rsid w:val="00007CDC"/>
    <w:rsid w:val="00010886"/>
    <w:rsid w:val="0001315A"/>
    <w:rsid w:val="000140AC"/>
    <w:rsid w:val="000154B1"/>
    <w:rsid w:val="00015F7A"/>
    <w:rsid w:val="0001783B"/>
    <w:rsid w:val="00017A31"/>
    <w:rsid w:val="00023A27"/>
    <w:rsid w:val="00025043"/>
    <w:rsid w:val="00030DE9"/>
    <w:rsid w:val="000313D2"/>
    <w:rsid w:val="000350CF"/>
    <w:rsid w:val="000352F6"/>
    <w:rsid w:val="00035F16"/>
    <w:rsid w:val="00037262"/>
    <w:rsid w:val="00040DC9"/>
    <w:rsid w:val="000425AB"/>
    <w:rsid w:val="00043581"/>
    <w:rsid w:val="000449EE"/>
    <w:rsid w:val="00045CEC"/>
    <w:rsid w:val="00045EB1"/>
    <w:rsid w:val="00046014"/>
    <w:rsid w:val="000472EF"/>
    <w:rsid w:val="00047B53"/>
    <w:rsid w:val="00047F8F"/>
    <w:rsid w:val="000507ED"/>
    <w:rsid w:val="00052D92"/>
    <w:rsid w:val="00056AC5"/>
    <w:rsid w:val="0006350B"/>
    <w:rsid w:val="000648E4"/>
    <w:rsid w:val="00071915"/>
    <w:rsid w:val="00077AEC"/>
    <w:rsid w:val="00077F83"/>
    <w:rsid w:val="000801BD"/>
    <w:rsid w:val="0008433D"/>
    <w:rsid w:val="0008453B"/>
    <w:rsid w:val="00084DEB"/>
    <w:rsid w:val="00085C30"/>
    <w:rsid w:val="000925A8"/>
    <w:rsid w:val="00094142"/>
    <w:rsid w:val="00096DB3"/>
    <w:rsid w:val="000A1470"/>
    <w:rsid w:val="000A3225"/>
    <w:rsid w:val="000A5CE1"/>
    <w:rsid w:val="000A72F5"/>
    <w:rsid w:val="000B2C1B"/>
    <w:rsid w:val="000B30D6"/>
    <w:rsid w:val="000B4DF0"/>
    <w:rsid w:val="000B501D"/>
    <w:rsid w:val="000B6FDF"/>
    <w:rsid w:val="000C019C"/>
    <w:rsid w:val="000C6083"/>
    <w:rsid w:val="000D04A9"/>
    <w:rsid w:val="000D50C0"/>
    <w:rsid w:val="000D5D83"/>
    <w:rsid w:val="000E0EC4"/>
    <w:rsid w:val="000E16FC"/>
    <w:rsid w:val="000E5093"/>
    <w:rsid w:val="000E5A95"/>
    <w:rsid w:val="000E7A99"/>
    <w:rsid w:val="000F3CF9"/>
    <w:rsid w:val="000F3E0A"/>
    <w:rsid w:val="000F68B2"/>
    <w:rsid w:val="001024D4"/>
    <w:rsid w:val="00102CB9"/>
    <w:rsid w:val="001037B8"/>
    <w:rsid w:val="00103DB8"/>
    <w:rsid w:val="00105AF6"/>
    <w:rsid w:val="001074C3"/>
    <w:rsid w:val="0010771A"/>
    <w:rsid w:val="001102B3"/>
    <w:rsid w:val="001112E0"/>
    <w:rsid w:val="00111825"/>
    <w:rsid w:val="001139FB"/>
    <w:rsid w:val="00121509"/>
    <w:rsid w:val="00123A09"/>
    <w:rsid w:val="00125288"/>
    <w:rsid w:val="00125634"/>
    <w:rsid w:val="00130514"/>
    <w:rsid w:val="0013154E"/>
    <w:rsid w:val="00131F91"/>
    <w:rsid w:val="00132B76"/>
    <w:rsid w:val="00132BA2"/>
    <w:rsid w:val="001336BB"/>
    <w:rsid w:val="00137946"/>
    <w:rsid w:val="00137B80"/>
    <w:rsid w:val="0014163B"/>
    <w:rsid w:val="00142D47"/>
    <w:rsid w:val="001516BB"/>
    <w:rsid w:val="001526F0"/>
    <w:rsid w:val="001628E0"/>
    <w:rsid w:val="00167F1B"/>
    <w:rsid w:val="001725D3"/>
    <w:rsid w:val="00172A27"/>
    <w:rsid w:val="00173CBB"/>
    <w:rsid w:val="0017463A"/>
    <w:rsid w:val="00176AD0"/>
    <w:rsid w:val="00177719"/>
    <w:rsid w:val="00185389"/>
    <w:rsid w:val="00187332"/>
    <w:rsid w:val="001876C2"/>
    <w:rsid w:val="0019072B"/>
    <w:rsid w:val="00191BF0"/>
    <w:rsid w:val="00196B0A"/>
    <w:rsid w:val="0019748D"/>
    <w:rsid w:val="001B0A64"/>
    <w:rsid w:val="001B0F1B"/>
    <w:rsid w:val="001B11CB"/>
    <w:rsid w:val="001B347E"/>
    <w:rsid w:val="001B4F11"/>
    <w:rsid w:val="001B571D"/>
    <w:rsid w:val="001B7B65"/>
    <w:rsid w:val="001C2374"/>
    <w:rsid w:val="001C6E0E"/>
    <w:rsid w:val="001D0D90"/>
    <w:rsid w:val="001D1BA7"/>
    <w:rsid w:val="001D3AE6"/>
    <w:rsid w:val="001D69DB"/>
    <w:rsid w:val="001E1FB4"/>
    <w:rsid w:val="001E4E5D"/>
    <w:rsid w:val="001E6D64"/>
    <w:rsid w:val="001F0739"/>
    <w:rsid w:val="001F2667"/>
    <w:rsid w:val="001F5A5F"/>
    <w:rsid w:val="001F6BB6"/>
    <w:rsid w:val="001F7EBF"/>
    <w:rsid w:val="002015FB"/>
    <w:rsid w:val="00202FDC"/>
    <w:rsid w:val="0020366D"/>
    <w:rsid w:val="00204C4D"/>
    <w:rsid w:val="00206F03"/>
    <w:rsid w:val="00207AD7"/>
    <w:rsid w:val="00207F97"/>
    <w:rsid w:val="00211C93"/>
    <w:rsid w:val="0021301C"/>
    <w:rsid w:val="00213DE5"/>
    <w:rsid w:val="00214C75"/>
    <w:rsid w:val="00215411"/>
    <w:rsid w:val="00220652"/>
    <w:rsid w:val="00225EC3"/>
    <w:rsid w:val="00237EBA"/>
    <w:rsid w:val="0024006B"/>
    <w:rsid w:val="0024240B"/>
    <w:rsid w:val="00247373"/>
    <w:rsid w:val="002474C4"/>
    <w:rsid w:val="002514C1"/>
    <w:rsid w:val="00252EBA"/>
    <w:rsid w:val="00254162"/>
    <w:rsid w:val="00254AAB"/>
    <w:rsid w:val="00255EAA"/>
    <w:rsid w:val="00263CC3"/>
    <w:rsid w:val="002718F7"/>
    <w:rsid w:val="00272275"/>
    <w:rsid w:val="0027236E"/>
    <w:rsid w:val="00272DD5"/>
    <w:rsid w:val="0027319A"/>
    <w:rsid w:val="00275885"/>
    <w:rsid w:val="002769CF"/>
    <w:rsid w:val="002777BB"/>
    <w:rsid w:val="00277E25"/>
    <w:rsid w:val="00281078"/>
    <w:rsid w:val="00282637"/>
    <w:rsid w:val="0028378A"/>
    <w:rsid w:val="00285695"/>
    <w:rsid w:val="0028661A"/>
    <w:rsid w:val="002A3F4C"/>
    <w:rsid w:val="002A3FC1"/>
    <w:rsid w:val="002A68FB"/>
    <w:rsid w:val="002B0566"/>
    <w:rsid w:val="002B0D7A"/>
    <w:rsid w:val="002B59E8"/>
    <w:rsid w:val="002B66F6"/>
    <w:rsid w:val="002B7F04"/>
    <w:rsid w:val="002C2313"/>
    <w:rsid w:val="002C2BA9"/>
    <w:rsid w:val="002C5A1C"/>
    <w:rsid w:val="002C5B30"/>
    <w:rsid w:val="002C710F"/>
    <w:rsid w:val="002C749E"/>
    <w:rsid w:val="002D0371"/>
    <w:rsid w:val="002D1641"/>
    <w:rsid w:val="002D62F4"/>
    <w:rsid w:val="002E0F61"/>
    <w:rsid w:val="002E1659"/>
    <w:rsid w:val="002E1F95"/>
    <w:rsid w:val="002F1F7F"/>
    <w:rsid w:val="002F284A"/>
    <w:rsid w:val="002F37AB"/>
    <w:rsid w:val="00300DA9"/>
    <w:rsid w:val="00303B81"/>
    <w:rsid w:val="00303C3E"/>
    <w:rsid w:val="00305D80"/>
    <w:rsid w:val="0030742B"/>
    <w:rsid w:val="00311F98"/>
    <w:rsid w:val="00312970"/>
    <w:rsid w:val="003141ED"/>
    <w:rsid w:val="0031470C"/>
    <w:rsid w:val="00315D15"/>
    <w:rsid w:val="00317525"/>
    <w:rsid w:val="003222C4"/>
    <w:rsid w:val="0032251C"/>
    <w:rsid w:val="003237AF"/>
    <w:rsid w:val="00324068"/>
    <w:rsid w:val="0032513F"/>
    <w:rsid w:val="003279F0"/>
    <w:rsid w:val="00331692"/>
    <w:rsid w:val="003319F0"/>
    <w:rsid w:val="00334E4E"/>
    <w:rsid w:val="00337383"/>
    <w:rsid w:val="00342BCD"/>
    <w:rsid w:val="00352C1F"/>
    <w:rsid w:val="00363CE7"/>
    <w:rsid w:val="00365F99"/>
    <w:rsid w:val="00366A74"/>
    <w:rsid w:val="00370AEC"/>
    <w:rsid w:val="003762D1"/>
    <w:rsid w:val="00377104"/>
    <w:rsid w:val="0038076D"/>
    <w:rsid w:val="00380CE1"/>
    <w:rsid w:val="00383BEA"/>
    <w:rsid w:val="00386500"/>
    <w:rsid w:val="00394442"/>
    <w:rsid w:val="003953FA"/>
    <w:rsid w:val="003957C0"/>
    <w:rsid w:val="003A025D"/>
    <w:rsid w:val="003A0571"/>
    <w:rsid w:val="003A091F"/>
    <w:rsid w:val="003A2614"/>
    <w:rsid w:val="003A2755"/>
    <w:rsid w:val="003A3271"/>
    <w:rsid w:val="003A3678"/>
    <w:rsid w:val="003B1062"/>
    <w:rsid w:val="003B1E23"/>
    <w:rsid w:val="003B1F24"/>
    <w:rsid w:val="003B31BB"/>
    <w:rsid w:val="003B77A3"/>
    <w:rsid w:val="003B7AB3"/>
    <w:rsid w:val="003C01DA"/>
    <w:rsid w:val="003C35B8"/>
    <w:rsid w:val="003C7DAB"/>
    <w:rsid w:val="003D210D"/>
    <w:rsid w:val="003D77A4"/>
    <w:rsid w:val="003E1E29"/>
    <w:rsid w:val="003E437D"/>
    <w:rsid w:val="003E4E8E"/>
    <w:rsid w:val="003E7BEC"/>
    <w:rsid w:val="003F3683"/>
    <w:rsid w:val="003F4325"/>
    <w:rsid w:val="003F497C"/>
    <w:rsid w:val="003F4B1D"/>
    <w:rsid w:val="003F4DD6"/>
    <w:rsid w:val="0040116D"/>
    <w:rsid w:val="00401BF9"/>
    <w:rsid w:val="004057AF"/>
    <w:rsid w:val="00406D1B"/>
    <w:rsid w:val="00407FBD"/>
    <w:rsid w:val="00412C6B"/>
    <w:rsid w:val="00412FCD"/>
    <w:rsid w:val="004145BE"/>
    <w:rsid w:val="0041498B"/>
    <w:rsid w:val="00415AAF"/>
    <w:rsid w:val="00416FF3"/>
    <w:rsid w:val="00424052"/>
    <w:rsid w:val="00426D05"/>
    <w:rsid w:val="004276B5"/>
    <w:rsid w:val="00430EA9"/>
    <w:rsid w:val="0043289A"/>
    <w:rsid w:val="00433877"/>
    <w:rsid w:val="0043471D"/>
    <w:rsid w:val="00434EC6"/>
    <w:rsid w:val="00440B7C"/>
    <w:rsid w:val="00441B0C"/>
    <w:rsid w:val="0044250B"/>
    <w:rsid w:val="00444A3F"/>
    <w:rsid w:val="00452ED1"/>
    <w:rsid w:val="00457063"/>
    <w:rsid w:val="00460225"/>
    <w:rsid w:val="00460CB3"/>
    <w:rsid w:val="00463C55"/>
    <w:rsid w:val="004651E5"/>
    <w:rsid w:val="004676B7"/>
    <w:rsid w:val="00470002"/>
    <w:rsid w:val="00472BE0"/>
    <w:rsid w:val="00474CC0"/>
    <w:rsid w:val="004750D7"/>
    <w:rsid w:val="00480552"/>
    <w:rsid w:val="0048251F"/>
    <w:rsid w:val="004825CE"/>
    <w:rsid w:val="0048370A"/>
    <w:rsid w:val="00485ADE"/>
    <w:rsid w:val="00491301"/>
    <w:rsid w:val="00491726"/>
    <w:rsid w:val="00495AD5"/>
    <w:rsid w:val="004A1162"/>
    <w:rsid w:val="004A2FC8"/>
    <w:rsid w:val="004A4F74"/>
    <w:rsid w:val="004A6071"/>
    <w:rsid w:val="004A676C"/>
    <w:rsid w:val="004A69EE"/>
    <w:rsid w:val="004B227E"/>
    <w:rsid w:val="004B350A"/>
    <w:rsid w:val="004B3618"/>
    <w:rsid w:val="004C5E3A"/>
    <w:rsid w:val="004C6B96"/>
    <w:rsid w:val="004D3542"/>
    <w:rsid w:val="004E2251"/>
    <w:rsid w:val="004E2D4D"/>
    <w:rsid w:val="004E3313"/>
    <w:rsid w:val="004E7C3A"/>
    <w:rsid w:val="004F0B47"/>
    <w:rsid w:val="004F18BB"/>
    <w:rsid w:val="004F25A9"/>
    <w:rsid w:val="004F3998"/>
    <w:rsid w:val="004F787B"/>
    <w:rsid w:val="005044C5"/>
    <w:rsid w:val="00504645"/>
    <w:rsid w:val="005062D2"/>
    <w:rsid w:val="005066C8"/>
    <w:rsid w:val="00512B9A"/>
    <w:rsid w:val="005200CF"/>
    <w:rsid w:val="00525478"/>
    <w:rsid w:val="00525685"/>
    <w:rsid w:val="005274DC"/>
    <w:rsid w:val="0053176A"/>
    <w:rsid w:val="00532420"/>
    <w:rsid w:val="00532653"/>
    <w:rsid w:val="00535D24"/>
    <w:rsid w:val="00537FA6"/>
    <w:rsid w:val="0054308E"/>
    <w:rsid w:val="005452E1"/>
    <w:rsid w:val="00545794"/>
    <w:rsid w:val="00545CAB"/>
    <w:rsid w:val="00554E37"/>
    <w:rsid w:val="005564BD"/>
    <w:rsid w:val="005569A8"/>
    <w:rsid w:val="00557047"/>
    <w:rsid w:val="00562439"/>
    <w:rsid w:val="005626DC"/>
    <w:rsid w:val="00562800"/>
    <w:rsid w:val="00563405"/>
    <w:rsid w:val="00563917"/>
    <w:rsid w:val="00564012"/>
    <w:rsid w:val="00564844"/>
    <w:rsid w:val="00567A8D"/>
    <w:rsid w:val="00575828"/>
    <w:rsid w:val="00581406"/>
    <w:rsid w:val="005832AA"/>
    <w:rsid w:val="00585D16"/>
    <w:rsid w:val="00592930"/>
    <w:rsid w:val="005939D0"/>
    <w:rsid w:val="00594131"/>
    <w:rsid w:val="005965D9"/>
    <w:rsid w:val="005A34C5"/>
    <w:rsid w:val="005B1A59"/>
    <w:rsid w:val="005B2A89"/>
    <w:rsid w:val="005B508F"/>
    <w:rsid w:val="005B757B"/>
    <w:rsid w:val="005C1244"/>
    <w:rsid w:val="005C2470"/>
    <w:rsid w:val="005C3A44"/>
    <w:rsid w:val="005C4C85"/>
    <w:rsid w:val="005C57DA"/>
    <w:rsid w:val="005D35EE"/>
    <w:rsid w:val="005D7806"/>
    <w:rsid w:val="005E50D6"/>
    <w:rsid w:val="005E64C2"/>
    <w:rsid w:val="005E78EE"/>
    <w:rsid w:val="005F0D9D"/>
    <w:rsid w:val="005F28EC"/>
    <w:rsid w:val="005F3328"/>
    <w:rsid w:val="005F3727"/>
    <w:rsid w:val="005F60F9"/>
    <w:rsid w:val="00604330"/>
    <w:rsid w:val="0060591A"/>
    <w:rsid w:val="0060701D"/>
    <w:rsid w:val="00607A51"/>
    <w:rsid w:val="006100C0"/>
    <w:rsid w:val="00611CD3"/>
    <w:rsid w:val="00613384"/>
    <w:rsid w:val="00613A4D"/>
    <w:rsid w:val="00614C77"/>
    <w:rsid w:val="00615655"/>
    <w:rsid w:val="00615DB3"/>
    <w:rsid w:val="00616B53"/>
    <w:rsid w:val="006234E2"/>
    <w:rsid w:val="0063304D"/>
    <w:rsid w:val="00637A73"/>
    <w:rsid w:val="00637C6F"/>
    <w:rsid w:val="006415DF"/>
    <w:rsid w:val="006426BF"/>
    <w:rsid w:val="0064364B"/>
    <w:rsid w:val="00644A2C"/>
    <w:rsid w:val="00650615"/>
    <w:rsid w:val="00653EC0"/>
    <w:rsid w:val="0065600E"/>
    <w:rsid w:val="00657D3A"/>
    <w:rsid w:val="0066105A"/>
    <w:rsid w:val="00664AB1"/>
    <w:rsid w:val="00665D0C"/>
    <w:rsid w:val="00666398"/>
    <w:rsid w:val="00672C3E"/>
    <w:rsid w:val="00674962"/>
    <w:rsid w:val="0067523A"/>
    <w:rsid w:val="006811E5"/>
    <w:rsid w:val="0068179C"/>
    <w:rsid w:val="006835B6"/>
    <w:rsid w:val="00683F11"/>
    <w:rsid w:val="0068543F"/>
    <w:rsid w:val="006911AD"/>
    <w:rsid w:val="006A3D09"/>
    <w:rsid w:val="006A5618"/>
    <w:rsid w:val="006B052A"/>
    <w:rsid w:val="006B2953"/>
    <w:rsid w:val="006B563D"/>
    <w:rsid w:val="006B7498"/>
    <w:rsid w:val="006B74A7"/>
    <w:rsid w:val="006B79E3"/>
    <w:rsid w:val="006C459B"/>
    <w:rsid w:val="006C5054"/>
    <w:rsid w:val="006C7A98"/>
    <w:rsid w:val="006D00B3"/>
    <w:rsid w:val="006D7518"/>
    <w:rsid w:val="006E002C"/>
    <w:rsid w:val="006E49F4"/>
    <w:rsid w:val="006E70C8"/>
    <w:rsid w:val="006E7568"/>
    <w:rsid w:val="006F4293"/>
    <w:rsid w:val="006F4F9D"/>
    <w:rsid w:val="006F5219"/>
    <w:rsid w:val="006F6F3D"/>
    <w:rsid w:val="00700B2E"/>
    <w:rsid w:val="007021EF"/>
    <w:rsid w:val="00702A97"/>
    <w:rsid w:val="00703D53"/>
    <w:rsid w:val="007040C2"/>
    <w:rsid w:val="00704CEA"/>
    <w:rsid w:val="00706205"/>
    <w:rsid w:val="00710399"/>
    <w:rsid w:val="00723333"/>
    <w:rsid w:val="007248A1"/>
    <w:rsid w:val="007279C0"/>
    <w:rsid w:val="00731974"/>
    <w:rsid w:val="00736113"/>
    <w:rsid w:val="00741242"/>
    <w:rsid w:val="0074262B"/>
    <w:rsid w:val="00742859"/>
    <w:rsid w:val="00742AA9"/>
    <w:rsid w:val="00742C23"/>
    <w:rsid w:val="007431AC"/>
    <w:rsid w:val="0074360F"/>
    <w:rsid w:val="007458A5"/>
    <w:rsid w:val="007468BF"/>
    <w:rsid w:val="007475F5"/>
    <w:rsid w:val="0076303E"/>
    <w:rsid w:val="0076344B"/>
    <w:rsid w:val="00763FAF"/>
    <w:rsid w:val="00770979"/>
    <w:rsid w:val="00771298"/>
    <w:rsid w:val="00772B7E"/>
    <w:rsid w:val="00772F86"/>
    <w:rsid w:val="007806B2"/>
    <w:rsid w:val="00780D3B"/>
    <w:rsid w:val="00785D5B"/>
    <w:rsid w:val="00787176"/>
    <w:rsid w:val="00787EA8"/>
    <w:rsid w:val="007907A0"/>
    <w:rsid w:val="00793134"/>
    <w:rsid w:val="007940BA"/>
    <w:rsid w:val="007A58B4"/>
    <w:rsid w:val="007A630C"/>
    <w:rsid w:val="007A6598"/>
    <w:rsid w:val="007A7C0B"/>
    <w:rsid w:val="007B4639"/>
    <w:rsid w:val="007B4728"/>
    <w:rsid w:val="007B657C"/>
    <w:rsid w:val="007C0868"/>
    <w:rsid w:val="007C0B2A"/>
    <w:rsid w:val="007C1477"/>
    <w:rsid w:val="007C19C2"/>
    <w:rsid w:val="007C1A51"/>
    <w:rsid w:val="007C4EF8"/>
    <w:rsid w:val="007C640D"/>
    <w:rsid w:val="007D3967"/>
    <w:rsid w:val="007D3F2D"/>
    <w:rsid w:val="007D42F6"/>
    <w:rsid w:val="007D5D9A"/>
    <w:rsid w:val="007D6997"/>
    <w:rsid w:val="007D7377"/>
    <w:rsid w:val="007D7F9F"/>
    <w:rsid w:val="007E2D05"/>
    <w:rsid w:val="007E33A4"/>
    <w:rsid w:val="007E4A71"/>
    <w:rsid w:val="007E766C"/>
    <w:rsid w:val="007F2D5E"/>
    <w:rsid w:val="007F4A12"/>
    <w:rsid w:val="007F52DA"/>
    <w:rsid w:val="007F74D8"/>
    <w:rsid w:val="00800079"/>
    <w:rsid w:val="008015E0"/>
    <w:rsid w:val="008047C1"/>
    <w:rsid w:val="00806C61"/>
    <w:rsid w:val="008124C8"/>
    <w:rsid w:val="00813639"/>
    <w:rsid w:val="00815572"/>
    <w:rsid w:val="00815B59"/>
    <w:rsid w:val="00817045"/>
    <w:rsid w:val="00817D30"/>
    <w:rsid w:val="00822154"/>
    <w:rsid w:val="00823622"/>
    <w:rsid w:val="008239E3"/>
    <w:rsid w:val="00823C9A"/>
    <w:rsid w:val="0082676A"/>
    <w:rsid w:val="00827684"/>
    <w:rsid w:val="00827FBB"/>
    <w:rsid w:val="00831408"/>
    <w:rsid w:val="008327EF"/>
    <w:rsid w:val="00834B72"/>
    <w:rsid w:val="008354EA"/>
    <w:rsid w:val="0083576F"/>
    <w:rsid w:val="0083720A"/>
    <w:rsid w:val="00840061"/>
    <w:rsid w:val="00846603"/>
    <w:rsid w:val="008509C2"/>
    <w:rsid w:val="00853406"/>
    <w:rsid w:val="00862518"/>
    <w:rsid w:val="0086339B"/>
    <w:rsid w:val="00863A66"/>
    <w:rsid w:val="00863BEE"/>
    <w:rsid w:val="00864B73"/>
    <w:rsid w:val="00865566"/>
    <w:rsid w:val="00867EB2"/>
    <w:rsid w:val="00871746"/>
    <w:rsid w:val="008737F4"/>
    <w:rsid w:val="008744C6"/>
    <w:rsid w:val="00883901"/>
    <w:rsid w:val="008851D8"/>
    <w:rsid w:val="0088753E"/>
    <w:rsid w:val="00890179"/>
    <w:rsid w:val="00893540"/>
    <w:rsid w:val="00893FC3"/>
    <w:rsid w:val="008947CD"/>
    <w:rsid w:val="008A169F"/>
    <w:rsid w:val="008A2888"/>
    <w:rsid w:val="008A51C4"/>
    <w:rsid w:val="008B01E0"/>
    <w:rsid w:val="008B21DC"/>
    <w:rsid w:val="008B6A7C"/>
    <w:rsid w:val="008B7B8D"/>
    <w:rsid w:val="008C164F"/>
    <w:rsid w:val="008C3BA4"/>
    <w:rsid w:val="008C3E7D"/>
    <w:rsid w:val="008C4A37"/>
    <w:rsid w:val="008C6308"/>
    <w:rsid w:val="008C6D56"/>
    <w:rsid w:val="008C7F1F"/>
    <w:rsid w:val="008D1A66"/>
    <w:rsid w:val="008D7A3E"/>
    <w:rsid w:val="008E13C5"/>
    <w:rsid w:val="008F105C"/>
    <w:rsid w:val="008F164D"/>
    <w:rsid w:val="008F1938"/>
    <w:rsid w:val="008F3B0D"/>
    <w:rsid w:val="008F54E1"/>
    <w:rsid w:val="008F57C1"/>
    <w:rsid w:val="008F6A44"/>
    <w:rsid w:val="0090017D"/>
    <w:rsid w:val="009026B3"/>
    <w:rsid w:val="009058E3"/>
    <w:rsid w:val="00906F86"/>
    <w:rsid w:val="00913FAE"/>
    <w:rsid w:val="00920DEB"/>
    <w:rsid w:val="00921DD0"/>
    <w:rsid w:val="00923606"/>
    <w:rsid w:val="00925279"/>
    <w:rsid w:val="0092639F"/>
    <w:rsid w:val="0092682E"/>
    <w:rsid w:val="00926971"/>
    <w:rsid w:val="00942005"/>
    <w:rsid w:val="009449FD"/>
    <w:rsid w:val="00944BB4"/>
    <w:rsid w:val="009454B8"/>
    <w:rsid w:val="00947182"/>
    <w:rsid w:val="0094722B"/>
    <w:rsid w:val="009502AE"/>
    <w:rsid w:val="00954C15"/>
    <w:rsid w:val="00955AF4"/>
    <w:rsid w:val="00961D2F"/>
    <w:rsid w:val="0096275F"/>
    <w:rsid w:val="00967C8E"/>
    <w:rsid w:val="00970A39"/>
    <w:rsid w:val="00971794"/>
    <w:rsid w:val="009738A6"/>
    <w:rsid w:val="00975A41"/>
    <w:rsid w:val="00977E49"/>
    <w:rsid w:val="0098026A"/>
    <w:rsid w:val="009825DE"/>
    <w:rsid w:val="00983812"/>
    <w:rsid w:val="00983C63"/>
    <w:rsid w:val="00984C5F"/>
    <w:rsid w:val="00993023"/>
    <w:rsid w:val="00997A1B"/>
    <w:rsid w:val="009A289B"/>
    <w:rsid w:val="009A2AC2"/>
    <w:rsid w:val="009A5C1F"/>
    <w:rsid w:val="009B0A48"/>
    <w:rsid w:val="009B40B4"/>
    <w:rsid w:val="009B5184"/>
    <w:rsid w:val="009C03B2"/>
    <w:rsid w:val="009C11FE"/>
    <w:rsid w:val="009C4111"/>
    <w:rsid w:val="009C414A"/>
    <w:rsid w:val="009C50EC"/>
    <w:rsid w:val="009C5C95"/>
    <w:rsid w:val="009C6885"/>
    <w:rsid w:val="009D0CD5"/>
    <w:rsid w:val="009D5F65"/>
    <w:rsid w:val="009D6B08"/>
    <w:rsid w:val="009D7E0A"/>
    <w:rsid w:val="009E2922"/>
    <w:rsid w:val="009E44F1"/>
    <w:rsid w:val="009E52D4"/>
    <w:rsid w:val="009E6363"/>
    <w:rsid w:val="009E7958"/>
    <w:rsid w:val="009F20E1"/>
    <w:rsid w:val="009F2C8F"/>
    <w:rsid w:val="009F33F7"/>
    <w:rsid w:val="009F57B1"/>
    <w:rsid w:val="009F7E14"/>
    <w:rsid w:val="00A01EB6"/>
    <w:rsid w:val="00A05943"/>
    <w:rsid w:val="00A0596D"/>
    <w:rsid w:val="00A05DE7"/>
    <w:rsid w:val="00A138CA"/>
    <w:rsid w:val="00A16C31"/>
    <w:rsid w:val="00A210D2"/>
    <w:rsid w:val="00A2274E"/>
    <w:rsid w:val="00A329BE"/>
    <w:rsid w:val="00A33427"/>
    <w:rsid w:val="00A40BD1"/>
    <w:rsid w:val="00A43576"/>
    <w:rsid w:val="00A57F12"/>
    <w:rsid w:val="00A62863"/>
    <w:rsid w:val="00A64640"/>
    <w:rsid w:val="00A71058"/>
    <w:rsid w:val="00A71AB0"/>
    <w:rsid w:val="00A7388A"/>
    <w:rsid w:val="00A7528C"/>
    <w:rsid w:val="00A76484"/>
    <w:rsid w:val="00A81E98"/>
    <w:rsid w:val="00A821CD"/>
    <w:rsid w:val="00A82BBD"/>
    <w:rsid w:val="00A843DE"/>
    <w:rsid w:val="00A85B22"/>
    <w:rsid w:val="00A945F6"/>
    <w:rsid w:val="00A951B8"/>
    <w:rsid w:val="00AA1D68"/>
    <w:rsid w:val="00AA53C9"/>
    <w:rsid w:val="00AB14AC"/>
    <w:rsid w:val="00AB401A"/>
    <w:rsid w:val="00AB4876"/>
    <w:rsid w:val="00AB597B"/>
    <w:rsid w:val="00AB5DDB"/>
    <w:rsid w:val="00AB77B8"/>
    <w:rsid w:val="00AC4256"/>
    <w:rsid w:val="00AC4CF3"/>
    <w:rsid w:val="00AC4F90"/>
    <w:rsid w:val="00AC7167"/>
    <w:rsid w:val="00AD0D8C"/>
    <w:rsid w:val="00AD157A"/>
    <w:rsid w:val="00AD748D"/>
    <w:rsid w:val="00AE1C0B"/>
    <w:rsid w:val="00AE24A5"/>
    <w:rsid w:val="00AE3FCF"/>
    <w:rsid w:val="00AE4113"/>
    <w:rsid w:val="00AE78A5"/>
    <w:rsid w:val="00AE7E9F"/>
    <w:rsid w:val="00AF1868"/>
    <w:rsid w:val="00AF59C3"/>
    <w:rsid w:val="00AF7E65"/>
    <w:rsid w:val="00B034B9"/>
    <w:rsid w:val="00B045A0"/>
    <w:rsid w:val="00B04C31"/>
    <w:rsid w:val="00B053A6"/>
    <w:rsid w:val="00B10729"/>
    <w:rsid w:val="00B10948"/>
    <w:rsid w:val="00B11FB0"/>
    <w:rsid w:val="00B158A0"/>
    <w:rsid w:val="00B16C4F"/>
    <w:rsid w:val="00B2405E"/>
    <w:rsid w:val="00B244A5"/>
    <w:rsid w:val="00B26B78"/>
    <w:rsid w:val="00B35E80"/>
    <w:rsid w:val="00B3627E"/>
    <w:rsid w:val="00B4114F"/>
    <w:rsid w:val="00B4307B"/>
    <w:rsid w:val="00B43A94"/>
    <w:rsid w:val="00B464B8"/>
    <w:rsid w:val="00B53E64"/>
    <w:rsid w:val="00B54DEC"/>
    <w:rsid w:val="00B54F3F"/>
    <w:rsid w:val="00B54F4D"/>
    <w:rsid w:val="00B56866"/>
    <w:rsid w:val="00B6098B"/>
    <w:rsid w:val="00B63884"/>
    <w:rsid w:val="00B654AD"/>
    <w:rsid w:val="00B709D1"/>
    <w:rsid w:val="00B7218B"/>
    <w:rsid w:val="00B73171"/>
    <w:rsid w:val="00B74096"/>
    <w:rsid w:val="00B75232"/>
    <w:rsid w:val="00B771DB"/>
    <w:rsid w:val="00B807C8"/>
    <w:rsid w:val="00B815A7"/>
    <w:rsid w:val="00B82A56"/>
    <w:rsid w:val="00B8543F"/>
    <w:rsid w:val="00B8661C"/>
    <w:rsid w:val="00B913B1"/>
    <w:rsid w:val="00B944EF"/>
    <w:rsid w:val="00B9461B"/>
    <w:rsid w:val="00B9518E"/>
    <w:rsid w:val="00B951AD"/>
    <w:rsid w:val="00B96130"/>
    <w:rsid w:val="00B96394"/>
    <w:rsid w:val="00B9754C"/>
    <w:rsid w:val="00B97615"/>
    <w:rsid w:val="00B97EB8"/>
    <w:rsid w:val="00BA2BD2"/>
    <w:rsid w:val="00BA57A5"/>
    <w:rsid w:val="00BB0809"/>
    <w:rsid w:val="00BB64CB"/>
    <w:rsid w:val="00BC1A33"/>
    <w:rsid w:val="00BC2213"/>
    <w:rsid w:val="00BC6ACD"/>
    <w:rsid w:val="00BC73E4"/>
    <w:rsid w:val="00BD0EA0"/>
    <w:rsid w:val="00BD1550"/>
    <w:rsid w:val="00BD2A8E"/>
    <w:rsid w:val="00BD42C4"/>
    <w:rsid w:val="00BD7FF8"/>
    <w:rsid w:val="00BE5337"/>
    <w:rsid w:val="00BF3EF8"/>
    <w:rsid w:val="00BF599D"/>
    <w:rsid w:val="00C03B8C"/>
    <w:rsid w:val="00C113AB"/>
    <w:rsid w:val="00C12413"/>
    <w:rsid w:val="00C135F9"/>
    <w:rsid w:val="00C166BB"/>
    <w:rsid w:val="00C23F54"/>
    <w:rsid w:val="00C24DD8"/>
    <w:rsid w:val="00C24F0F"/>
    <w:rsid w:val="00C3232D"/>
    <w:rsid w:val="00C32A24"/>
    <w:rsid w:val="00C333FF"/>
    <w:rsid w:val="00C34847"/>
    <w:rsid w:val="00C35997"/>
    <w:rsid w:val="00C37899"/>
    <w:rsid w:val="00C41F68"/>
    <w:rsid w:val="00C42E6F"/>
    <w:rsid w:val="00C44702"/>
    <w:rsid w:val="00C45B29"/>
    <w:rsid w:val="00C45C2C"/>
    <w:rsid w:val="00C50661"/>
    <w:rsid w:val="00C519B8"/>
    <w:rsid w:val="00C5400B"/>
    <w:rsid w:val="00C54111"/>
    <w:rsid w:val="00C546AB"/>
    <w:rsid w:val="00C61360"/>
    <w:rsid w:val="00C638AF"/>
    <w:rsid w:val="00C65766"/>
    <w:rsid w:val="00C66BAB"/>
    <w:rsid w:val="00C678CD"/>
    <w:rsid w:val="00C707BF"/>
    <w:rsid w:val="00C748B6"/>
    <w:rsid w:val="00C75BC6"/>
    <w:rsid w:val="00C76282"/>
    <w:rsid w:val="00C80CA0"/>
    <w:rsid w:val="00C85B6D"/>
    <w:rsid w:val="00C86F79"/>
    <w:rsid w:val="00C8757A"/>
    <w:rsid w:val="00C946F1"/>
    <w:rsid w:val="00C95854"/>
    <w:rsid w:val="00C95DE7"/>
    <w:rsid w:val="00C97BFE"/>
    <w:rsid w:val="00C97FC6"/>
    <w:rsid w:val="00CA4A98"/>
    <w:rsid w:val="00CA5265"/>
    <w:rsid w:val="00CA6740"/>
    <w:rsid w:val="00CA74B4"/>
    <w:rsid w:val="00CA7EE4"/>
    <w:rsid w:val="00CB07FD"/>
    <w:rsid w:val="00CB105B"/>
    <w:rsid w:val="00CB35E9"/>
    <w:rsid w:val="00CC2369"/>
    <w:rsid w:val="00CC2B14"/>
    <w:rsid w:val="00CC7096"/>
    <w:rsid w:val="00CD0CEE"/>
    <w:rsid w:val="00CD381F"/>
    <w:rsid w:val="00CE152F"/>
    <w:rsid w:val="00CE1EE9"/>
    <w:rsid w:val="00CF31BC"/>
    <w:rsid w:val="00CF3475"/>
    <w:rsid w:val="00CF3D0E"/>
    <w:rsid w:val="00CF3F2D"/>
    <w:rsid w:val="00CF62B7"/>
    <w:rsid w:val="00D01AFC"/>
    <w:rsid w:val="00D03886"/>
    <w:rsid w:val="00D04015"/>
    <w:rsid w:val="00D06887"/>
    <w:rsid w:val="00D06C9C"/>
    <w:rsid w:val="00D11122"/>
    <w:rsid w:val="00D112B5"/>
    <w:rsid w:val="00D17766"/>
    <w:rsid w:val="00D3009A"/>
    <w:rsid w:val="00D31134"/>
    <w:rsid w:val="00D31E13"/>
    <w:rsid w:val="00D333C2"/>
    <w:rsid w:val="00D33A08"/>
    <w:rsid w:val="00D343A1"/>
    <w:rsid w:val="00D34757"/>
    <w:rsid w:val="00D364EB"/>
    <w:rsid w:val="00D376AA"/>
    <w:rsid w:val="00D409F7"/>
    <w:rsid w:val="00D42401"/>
    <w:rsid w:val="00D43125"/>
    <w:rsid w:val="00D517FF"/>
    <w:rsid w:val="00D53D2C"/>
    <w:rsid w:val="00D6279D"/>
    <w:rsid w:val="00D64937"/>
    <w:rsid w:val="00D6628C"/>
    <w:rsid w:val="00D6653D"/>
    <w:rsid w:val="00D67A84"/>
    <w:rsid w:val="00D67EA6"/>
    <w:rsid w:val="00D72349"/>
    <w:rsid w:val="00D72A60"/>
    <w:rsid w:val="00D74BFB"/>
    <w:rsid w:val="00D74C8B"/>
    <w:rsid w:val="00D82ADA"/>
    <w:rsid w:val="00D85E30"/>
    <w:rsid w:val="00D90334"/>
    <w:rsid w:val="00D92993"/>
    <w:rsid w:val="00D93926"/>
    <w:rsid w:val="00D97E0F"/>
    <w:rsid w:val="00DA2658"/>
    <w:rsid w:val="00DA38E0"/>
    <w:rsid w:val="00DA617B"/>
    <w:rsid w:val="00DB2CD0"/>
    <w:rsid w:val="00DC3CEF"/>
    <w:rsid w:val="00DC3F54"/>
    <w:rsid w:val="00DC4936"/>
    <w:rsid w:val="00DC67FC"/>
    <w:rsid w:val="00DC6FA1"/>
    <w:rsid w:val="00DD0E64"/>
    <w:rsid w:val="00DD253B"/>
    <w:rsid w:val="00DD5D56"/>
    <w:rsid w:val="00DE142B"/>
    <w:rsid w:val="00DE4908"/>
    <w:rsid w:val="00DE5CF1"/>
    <w:rsid w:val="00DF087C"/>
    <w:rsid w:val="00DF231E"/>
    <w:rsid w:val="00DF642E"/>
    <w:rsid w:val="00DF70B3"/>
    <w:rsid w:val="00DF788D"/>
    <w:rsid w:val="00E07C6C"/>
    <w:rsid w:val="00E11753"/>
    <w:rsid w:val="00E1268E"/>
    <w:rsid w:val="00E16B01"/>
    <w:rsid w:val="00E26640"/>
    <w:rsid w:val="00E27E41"/>
    <w:rsid w:val="00E35783"/>
    <w:rsid w:val="00E438CA"/>
    <w:rsid w:val="00E43A80"/>
    <w:rsid w:val="00E4408D"/>
    <w:rsid w:val="00E45ECD"/>
    <w:rsid w:val="00E477EB"/>
    <w:rsid w:val="00E51220"/>
    <w:rsid w:val="00E540C2"/>
    <w:rsid w:val="00E625B2"/>
    <w:rsid w:val="00E665FF"/>
    <w:rsid w:val="00E66778"/>
    <w:rsid w:val="00E66CDB"/>
    <w:rsid w:val="00E706D5"/>
    <w:rsid w:val="00E7087B"/>
    <w:rsid w:val="00E715F6"/>
    <w:rsid w:val="00E84324"/>
    <w:rsid w:val="00E858AB"/>
    <w:rsid w:val="00E85AAA"/>
    <w:rsid w:val="00E86087"/>
    <w:rsid w:val="00E86986"/>
    <w:rsid w:val="00E902FF"/>
    <w:rsid w:val="00E9334E"/>
    <w:rsid w:val="00EA55DA"/>
    <w:rsid w:val="00EA63CB"/>
    <w:rsid w:val="00EB23E8"/>
    <w:rsid w:val="00EB53EB"/>
    <w:rsid w:val="00EB6A06"/>
    <w:rsid w:val="00EC43D0"/>
    <w:rsid w:val="00EC633E"/>
    <w:rsid w:val="00ED47AB"/>
    <w:rsid w:val="00EE1009"/>
    <w:rsid w:val="00EE606A"/>
    <w:rsid w:val="00EE722F"/>
    <w:rsid w:val="00EE76A3"/>
    <w:rsid w:val="00EF08E8"/>
    <w:rsid w:val="00EF237D"/>
    <w:rsid w:val="00EF4DDA"/>
    <w:rsid w:val="00F00844"/>
    <w:rsid w:val="00F00F69"/>
    <w:rsid w:val="00F03F6E"/>
    <w:rsid w:val="00F05CED"/>
    <w:rsid w:val="00F05EC9"/>
    <w:rsid w:val="00F11653"/>
    <w:rsid w:val="00F202A4"/>
    <w:rsid w:val="00F2110B"/>
    <w:rsid w:val="00F23631"/>
    <w:rsid w:val="00F25578"/>
    <w:rsid w:val="00F26AE8"/>
    <w:rsid w:val="00F312E2"/>
    <w:rsid w:val="00F31F6D"/>
    <w:rsid w:val="00F3392C"/>
    <w:rsid w:val="00F353EE"/>
    <w:rsid w:val="00F35F0E"/>
    <w:rsid w:val="00F36455"/>
    <w:rsid w:val="00F37D53"/>
    <w:rsid w:val="00F406E0"/>
    <w:rsid w:val="00F41A97"/>
    <w:rsid w:val="00F41C53"/>
    <w:rsid w:val="00F430CF"/>
    <w:rsid w:val="00F46354"/>
    <w:rsid w:val="00F46C64"/>
    <w:rsid w:val="00F4780E"/>
    <w:rsid w:val="00F542C4"/>
    <w:rsid w:val="00F56EED"/>
    <w:rsid w:val="00F60453"/>
    <w:rsid w:val="00F624FD"/>
    <w:rsid w:val="00F63D31"/>
    <w:rsid w:val="00F677E5"/>
    <w:rsid w:val="00F67C3B"/>
    <w:rsid w:val="00F67CC2"/>
    <w:rsid w:val="00F723FA"/>
    <w:rsid w:val="00F74322"/>
    <w:rsid w:val="00F75C69"/>
    <w:rsid w:val="00F86990"/>
    <w:rsid w:val="00F90230"/>
    <w:rsid w:val="00F90BC2"/>
    <w:rsid w:val="00F942A8"/>
    <w:rsid w:val="00F95701"/>
    <w:rsid w:val="00F965DB"/>
    <w:rsid w:val="00F973DF"/>
    <w:rsid w:val="00FA1A29"/>
    <w:rsid w:val="00FA4970"/>
    <w:rsid w:val="00FB125C"/>
    <w:rsid w:val="00FB37BB"/>
    <w:rsid w:val="00FC2E02"/>
    <w:rsid w:val="00FD17C7"/>
    <w:rsid w:val="00FD3BCC"/>
    <w:rsid w:val="00FD64BD"/>
    <w:rsid w:val="00FD64D3"/>
    <w:rsid w:val="00FE1009"/>
    <w:rsid w:val="00FE2FEB"/>
    <w:rsid w:val="00FE5A5E"/>
    <w:rsid w:val="00FE78EC"/>
    <w:rsid w:val="00FF0FC3"/>
    <w:rsid w:val="012D0A89"/>
    <w:rsid w:val="01B66D5C"/>
    <w:rsid w:val="022B057D"/>
    <w:rsid w:val="029025BA"/>
    <w:rsid w:val="02C632BC"/>
    <w:rsid w:val="02D8757D"/>
    <w:rsid w:val="02DB59D8"/>
    <w:rsid w:val="02E42C1C"/>
    <w:rsid w:val="033E2113"/>
    <w:rsid w:val="03A42ABA"/>
    <w:rsid w:val="03CF6BFA"/>
    <w:rsid w:val="03DD6937"/>
    <w:rsid w:val="03E274D6"/>
    <w:rsid w:val="04027AE3"/>
    <w:rsid w:val="04132E27"/>
    <w:rsid w:val="050C69F2"/>
    <w:rsid w:val="057E0B86"/>
    <w:rsid w:val="05A60153"/>
    <w:rsid w:val="05A752AB"/>
    <w:rsid w:val="05E30B76"/>
    <w:rsid w:val="06124967"/>
    <w:rsid w:val="064443CB"/>
    <w:rsid w:val="064660D0"/>
    <w:rsid w:val="067F6ED0"/>
    <w:rsid w:val="069C2372"/>
    <w:rsid w:val="06E63475"/>
    <w:rsid w:val="071A08C2"/>
    <w:rsid w:val="07242CFE"/>
    <w:rsid w:val="07A04648"/>
    <w:rsid w:val="0846779E"/>
    <w:rsid w:val="08A61165"/>
    <w:rsid w:val="09591C23"/>
    <w:rsid w:val="09976E9E"/>
    <w:rsid w:val="09B5248E"/>
    <w:rsid w:val="09BA7D00"/>
    <w:rsid w:val="09CA6F84"/>
    <w:rsid w:val="09E44551"/>
    <w:rsid w:val="09F00295"/>
    <w:rsid w:val="0A2F607D"/>
    <w:rsid w:val="0B651BB3"/>
    <w:rsid w:val="0B792988"/>
    <w:rsid w:val="0BEE24DC"/>
    <w:rsid w:val="0C1318F1"/>
    <w:rsid w:val="0C427B42"/>
    <w:rsid w:val="0C800CB3"/>
    <w:rsid w:val="0CE6304C"/>
    <w:rsid w:val="0D156569"/>
    <w:rsid w:val="0D3A67FF"/>
    <w:rsid w:val="0D497EB2"/>
    <w:rsid w:val="0E1008EE"/>
    <w:rsid w:val="0E167842"/>
    <w:rsid w:val="0E4370C8"/>
    <w:rsid w:val="0E4411F2"/>
    <w:rsid w:val="0E5A51D4"/>
    <w:rsid w:val="0E6D5867"/>
    <w:rsid w:val="0E917633"/>
    <w:rsid w:val="0FA247C8"/>
    <w:rsid w:val="0FA72DC9"/>
    <w:rsid w:val="0FC42F7B"/>
    <w:rsid w:val="0FF67415"/>
    <w:rsid w:val="0FFA60F7"/>
    <w:rsid w:val="10073C1B"/>
    <w:rsid w:val="100F774A"/>
    <w:rsid w:val="10BC1A96"/>
    <w:rsid w:val="10E54F30"/>
    <w:rsid w:val="12637B3B"/>
    <w:rsid w:val="12771554"/>
    <w:rsid w:val="129421C1"/>
    <w:rsid w:val="13295217"/>
    <w:rsid w:val="13563C04"/>
    <w:rsid w:val="13EC6A80"/>
    <w:rsid w:val="141E15C2"/>
    <w:rsid w:val="149E62F2"/>
    <w:rsid w:val="15020DCB"/>
    <w:rsid w:val="150D5183"/>
    <w:rsid w:val="154F79EF"/>
    <w:rsid w:val="15626BFA"/>
    <w:rsid w:val="157B12D4"/>
    <w:rsid w:val="16D47F35"/>
    <w:rsid w:val="170374EC"/>
    <w:rsid w:val="17444330"/>
    <w:rsid w:val="17942BA8"/>
    <w:rsid w:val="17AF7AAF"/>
    <w:rsid w:val="17B61479"/>
    <w:rsid w:val="17C11B7E"/>
    <w:rsid w:val="193277CA"/>
    <w:rsid w:val="1A516B2E"/>
    <w:rsid w:val="1A5601C0"/>
    <w:rsid w:val="1AB0167E"/>
    <w:rsid w:val="1B8A49E6"/>
    <w:rsid w:val="1B8F62EE"/>
    <w:rsid w:val="1BD1777C"/>
    <w:rsid w:val="1BE93ED7"/>
    <w:rsid w:val="1C2A241F"/>
    <w:rsid w:val="1C9422C6"/>
    <w:rsid w:val="1D4B49F6"/>
    <w:rsid w:val="1D813360"/>
    <w:rsid w:val="1D826B36"/>
    <w:rsid w:val="1E664304"/>
    <w:rsid w:val="1F9A7D80"/>
    <w:rsid w:val="1FBE2021"/>
    <w:rsid w:val="201302FC"/>
    <w:rsid w:val="202B3A62"/>
    <w:rsid w:val="20C91526"/>
    <w:rsid w:val="20D959E1"/>
    <w:rsid w:val="21113E03"/>
    <w:rsid w:val="211C03F6"/>
    <w:rsid w:val="21211E17"/>
    <w:rsid w:val="21856903"/>
    <w:rsid w:val="219224F4"/>
    <w:rsid w:val="21A30C67"/>
    <w:rsid w:val="21D31718"/>
    <w:rsid w:val="224E31A3"/>
    <w:rsid w:val="229B692B"/>
    <w:rsid w:val="23763C83"/>
    <w:rsid w:val="23776FB9"/>
    <w:rsid w:val="237F0C83"/>
    <w:rsid w:val="23AE75E2"/>
    <w:rsid w:val="23BB16D2"/>
    <w:rsid w:val="23C37EC8"/>
    <w:rsid w:val="242F288E"/>
    <w:rsid w:val="24455CFE"/>
    <w:rsid w:val="24754F92"/>
    <w:rsid w:val="24B122D5"/>
    <w:rsid w:val="24B961FF"/>
    <w:rsid w:val="26637931"/>
    <w:rsid w:val="267B53F0"/>
    <w:rsid w:val="269868BF"/>
    <w:rsid w:val="269F7BD5"/>
    <w:rsid w:val="27271138"/>
    <w:rsid w:val="282A7BF3"/>
    <w:rsid w:val="28525011"/>
    <w:rsid w:val="28935222"/>
    <w:rsid w:val="28C5164D"/>
    <w:rsid w:val="29574B51"/>
    <w:rsid w:val="295B0154"/>
    <w:rsid w:val="2A8516C1"/>
    <w:rsid w:val="2A9C11C8"/>
    <w:rsid w:val="2BA36640"/>
    <w:rsid w:val="2BBA7313"/>
    <w:rsid w:val="2BD275D4"/>
    <w:rsid w:val="2C7614B0"/>
    <w:rsid w:val="2C8E21BE"/>
    <w:rsid w:val="2CB773E6"/>
    <w:rsid w:val="2D4C2901"/>
    <w:rsid w:val="2D517568"/>
    <w:rsid w:val="2DE310E3"/>
    <w:rsid w:val="2E106B8C"/>
    <w:rsid w:val="2E112994"/>
    <w:rsid w:val="2E1F77D1"/>
    <w:rsid w:val="2E572AB4"/>
    <w:rsid w:val="2F013257"/>
    <w:rsid w:val="2F576575"/>
    <w:rsid w:val="2F654A4F"/>
    <w:rsid w:val="2FC95782"/>
    <w:rsid w:val="300F13A8"/>
    <w:rsid w:val="301529F8"/>
    <w:rsid w:val="30394E57"/>
    <w:rsid w:val="306C5828"/>
    <w:rsid w:val="30DE583A"/>
    <w:rsid w:val="31236FB1"/>
    <w:rsid w:val="319D6E1B"/>
    <w:rsid w:val="31A8352B"/>
    <w:rsid w:val="31EF56BC"/>
    <w:rsid w:val="32A62BDF"/>
    <w:rsid w:val="32A77954"/>
    <w:rsid w:val="335F6D80"/>
    <w:rsid w:val="336A0A78"/>
    <w:rsid w:val="344A4EC6"/>
    <w:rsid w:val="34AD4CC0"/>
    <w:rsid w:val="34DB5CA5"/>
    <w:rsid w:val="35C15DDD"/>
    <w:rsid w:val="36163FB4"/>
    <w:rsid w:val="36405748"/>
    <w:rsid w:val="36882A94"/>
    <w:rsid w:val="37B4404D"/>
    <w:rsid w:val="38387AEB"/>
    <w:rsid w:val="389F69B8"/>
    <w:rsid w:val="38F932F6"/>
    <w:rsid w:val="39780370"/>
    <w:rsid w:val="3A387687"/>
    <w:rsid w:val="3ACA6435"/>
    <w:rsid w:val="3B1632CC"/>
    <w:rsid w:val="3B202B47"/>
    <w:rsid w:val="3B740553"/>
    <w:rsid w:val="3B9C57F9"/>
    <w:rsid w:val="3BB57CF6"/>
    <w:rsid w:val="3BE07902"/>
    <w:rsid w:val="3DA10C18"/>
    <w:rsid w:val="3EA1648E"/>
    <w:rsid w:val="3F79605C"/>
    <w:rsid w:val="3F7B7FCA"/>
    <w:rsid w:val="3FA72B53"/>
    <w:rsid w:val="401407EC"/>
    <w:rsid w:val="406A4B47"/>
    <w:rsid w:val="409445B2"/>
    <w:rsid w:val="40D06268"/>
    <w:rsid w:val="40DC18E5"/>
    <w:rsid w:val="412F3314"/>
    <w:rsid w:val="418545EE"/>
    <w:rsid w:val="41901872"/>
    <w:rsid w:val="41CC1A3A"/>
    <w:rsid w:val="41FC139B"/>
    <w:rsid w:val="42E868FA"/>
    <w:rsid w:val="43063D47"/>
    <w:rsid w:val="4315106D"/>
    <w:rsid w:val="441E2F4D"/>
    <w:rsid w:val="447339C1"/>
    <w:rsid w:val="44A95DE1"/>
    <w:rsid w:val="450713C3"/>
    <w:rsid w:val="453A408A"/>
    <w:rsid w:val="45881F5D"/>
    <w:rsid w:val="46286F3B"/>
    <w:rsid w:val="4665661F"/>
    <w:rsid w:val="469756D2"/>
    <w:rsid w:val="46CE4EDF"/>
    <w:rsid w:val="47164C62"/>
    <w:rsid w:val="473C19E3"/>
    <w:rsid w:val="47561FEF"/>
    <w:rsid w:val="48542730"/>
    <w:rsid w:val="4899437B"/>
    <w:rsid w:val="48C2050C"/>
    <w:rsid w:val="490E1F0B"/>
    <w:rsid w:val="492223DF"/>
    <w:rsid w:val="498D41A1"/>
    <w:rsid w:val="4A132418"/>
    <w:rsid w:val="4A3F2CD5"/>
    <w:rsid w:val="4A59481F"/>
    <w:rsid w:val="4B4621FD"/>
    <w:rsid w:val="4C0A75F5"/>
    <w:rsid w:val="4C5A2494"/>
    <w:rsid w:val="4D4D7707"/>
    <w:rsid w:val="4D5638D5"/>
    <w:rsid w:val="4D5C24E4"/>
    <w:rsid w:val="4D6F109C"/>
    <w:rsid w:val="4DCC1B7B"/>
    <w:rsid w:val="4E6A06D8"/>
    <w:rsid w:val="4F765CFC"/>
    <w:rsid w:val="4FAB6416"/>
    <w:rsid w:val="4FB07E22"/>
    <w:rsid w:val="4FBF7ABB"/>
    <w:rsid w:val="4FC43721"/>
    <w:rsid w:val="4FC86978"/>
    <w:rsid w:val="4FFE587A"/>
    <w:rsid w:val="50DB270C"/>
    <w:rsid w:val="50E2435A"/>
    <w:rsid w:val="51884C99"/>
    <w:rsid w:val="51FE349A"/>
    <w:rsid w:val="52145948"/>
    <w:rsid w:val="529C1EFA"/>
    <w:rsid w:val="5341297B"/>
    <w:rsid w:val="53A30BED"/>
    <w:rsid w:val="53EF1803"/>
    <w:rsid w:val="54003B9F"/>
    <w:rsid w:val="54683FF0"/>
    <w:rsid w:val="54936D22"/>
    <w:rsid w:val="54F231D8"/>
    <w:rsid w:val="550A2A70"/>
    <w:rsid w:val="55D749E9"/>
    <w:rsid w:val="55F208E7"/>
    <w:rsid w:val="56A135FF"/>
    <w:rsid w:val="56B467E7"/>
    <w:rsid w:val="56D44823"/>
    <w:rsid w:val="56E763E1"/>
    <w:rsid w:val="56F4562C"/>
    <w:rsid w:val="571A17E5"/>
    <w:rsid w:val="57272F23"/>
    <w:rsid w:val="573722C7"/>
    <w:rsid w:val="57531051"/>
    <w:rsid w:val="579B1199"/>
    <w:rsid w:val="57A84B9E"/>
    <w:rsid w:val="57C17820"/>
    <w:rsid w:val="57D60097"/>
    <w:rsid w:val="58403956"/>
    <w:rsid w:val="586276C2"/>
    <w:rsid w:val="58DD3C9A"/>
    <w:rsid w:val="58E6505A"/>
    <w:rsid w:val="59031DD5"/>
    <w:rsid w:val="592A34B1"/>
    <w:rsid w:val="5973391C"/>
    <w:rsid w:val="59EA4889"/>
    <w:rsid w:val="59FF5FC8"/>
    <w:rsid w:val="5A0E17D7"/>
    <w:rsid w:val="5A35122F"/>
    <w:rsid w:val="5AC8053E"/>
    <w:rsid w:val="5BC26739"/>
    <w:rsid w:val="5BC513C0"/>
    <w:rsid w:val="5C072C20"/>
    <w:rsid w:val="5C2904A5"/>
    <w:rsid w:val="5C8125CF"/>
    <w:rsid w:val="5CCD57B0"/>
    <w:rsid w:val="5D4706E1"/>
    <w:rsid w:val="5D4C30B7"/>
    <w:rsid w:val="5D7070E7"/>
    <w:rsid w:val="5D9A626F"/>
    <w:rsid w:val="5EAD150B"/>
    <w:rsid w:val="5EF71C71"/>
    <w:rsid w:val="5F29419C"/>
    <w:rsid w:val="5F563B2C"/>
    <w:rsid w:val="5FE40F21"/>
    <w:rsid w:val="6036387E"/>
    <w:rsid w:val="605E713B"/>
    <w:rsid w:val="60D365B7"/>
    <w:rsid w:val="60D62872"/>
    <w:rsid w:val="60FB25BC"/>
    <w:rsid w:val="61033102"/>
    <w:rsid w:val="612E2C36"/>
    <w:rsid w:val="616758B8"/>
    <w:rsid w:val="61D76773"/>
    <w:rsid w:val="6222168A"/>
    <w:rsid w:val="622F727E"/>
    <w:rsid w:val="62C15213"/>
    <w:rsid w:val="63214471"/>
    <w:rsid w:val="63E12DF4"/>
    <w:rsid w:val="647C6724"/>
    <w:rsid w:val="64CF740A"/>
    <w:rsid w:val="64F1018E"/>
    <w:rsid w:val="65065884"/>
    <w:rsid w:val="654429CF"/>
    <w:rsid w:val="657755D3"/>
    <w:rsid w:val="658968A0"/>
    <w:rsid w:val="65912E12"/>
    <w:rsid w:val="65BE2BC3"/>
    <w:rsid w:val="660A0DF2"/>
    <w:rsid w:val="661815AE"/>
    <w:rsid w:val="66255162"/>
    <w:rsid w:val="667B161A"/>
    <w:rsid w:val="66C81874"/>
    <w:rsid w:val="6707590E"/>
    <w:rsid w:val="6707635C"/>
    <w:rsid w:val="68633353"/>
    <w:rsid w:val="68654544"/>
    <w:rsid w:val="68994715"/>
    <w:rsid w:val="68FA37CF"/>
    <w:rsid w:val="69626E31"/>
    <w:rsid w:val="699414FD"/>
    <w:rsid w:val="6994740F"/>
    <w:rsid w:val="69F83E64"/>
    <w:rsid w:val="6A6C6AD8"/>
    <w:rsid w:val="6B005A9C"/>
    <w:rsid w:val="6B1E4C9B"/>
    <w:rsid w:val="6B670900"/>
    <w:rsid w:val="6B697291"/>
    <w:rsid w:val="6B80576C"/>
    <w:rsid w:val="6B8C4C96"/>
    <w:rsid w:val="6B9C1079"/>
    <w:rsid w:val="6C694398"/>
    <w:rsid w:val="6C7A61DB"/>
    <w:rsid w:val="6CAC1F27"/>
    <w:rsid w:val="6CE728B9"/>
    <w:rsid w:val="6D501AB9"/>
    <w:rsid w:val="6D706886"/>
    <w:rsid w:val="6DB629AD"/>
    <w:rsid w:val="6E1E60A6"/>
    <w:rsid w:val="6E576D7E"/>
    <w:rsid w:val="6E943D4E"/>
    <w:rsid w:val="6EDD791D"/>
    <w:rsid w:val="6EE20C07"/>
    <w:rsid w:val="6F8317D9"/>
    <w:rsid w:val="701B23B4"/>
    <w:rsid w:val="708356AD"/>
    <w:rsid w:val="70DE3D20"/>
    <w:rsid w:val="714B2FAC"/>
    <w:rsid w:val="714E0E1C"/>
    <w:rsid w:val="71A67607"/>
    <w:rsid w:val="72024B75"/>
    <w:rsid w:val="725346A4"/>
    <w:rsid w:val="725C76DD"/>
    <w:rsid w:val="72D95B34"/>
    <w:rsid w:val="732A2313"/>
    <w:rsid w:val="73AA70D6"/>
    <w:rsid w:val="73E946AE"/>
    <w:rsid w:val="74001350"/>
    <w:rsid w:val="743E2195"/>
    <w:rsid w:val="748F3B62"/>
    <w:rsid w:val="752E50EE"/>
    <w:rsid w:val="75661707"/>
    <w:rsid w:val="76705453"/>
    <w:rsid w:val="76937513"/>
    <w:rsid w:val="774A08FF"/>
    <w:rsid w:val="77846D70"/>
    <w:rsid w:val="77B07959"/>
    <w:rsid w:val="78172C7B"/>
    <w:rsid w:val="78B91BFB"/>
    <w:rsid w:val="78CC6E1C"/>
    <w:rsid w:val="78D54CCE"/>
    <w:rsid w:val="78F06E5A"/>
    <w:rsid w:val="78F41341"/>
    <w:rsid w:val="790B1069"/>
    <w:rsid w:val="79473D17"/>
    <w:rsid w:val="7986407E"/>
    <w:rsid w:val="79E66657"/>
    <w:rsid w:val="7A480D9C"/>
    <w:rsid w:val="7A6A196A"/>
    <w:rsid w:val="7B8B5EE3"/>
    <w:rsid w:val="7BAD24EA"/>
    <w:rsid w:val="7BF15674"/>
    <w:rsid w:val="7C56314A"/>
    <w:rsid w:val="7CA81C7C"/>
    <w:rsid w:val="7D403539"/>
    <w:rsid w:val="7D524443"/>
    <w:rsid w:val="7DD73A21"/>
    <w:rsid w:val="7DE21ABF"/>
    <w:rsid w:val="7E692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outlineLvl w:val="0"/>
    </w:pPr>
    <w:rPr>
      <w:rFonts w:ascii="Times New Roman" w:hAnsi="Times New Roman"/>
      <w:b/>
      <w:bCs/>
      <w:kern w:val="44"/>
      <w:sz w:val="44"/>
      <w:szCs w:val="44"/>
    </w:rPr>
  </w:style>
  <w:style w:type="paragraph" w:styleId="4">
    <w:name w:val="heading 2"/>
    <w:basedOn w:val="1"/>
    <w:next w:val="5"/>
    <w:link w:val="75"/>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86"/>
    <w:qFormat/>
    <w:uiPriority w:val="0"/>
    <w:pPr>
      <w:keepNext/>
      <w:keepLines/>
      <w:spacing w:before="120" w:after="120"/>
      <w:outlineLvl w:val="2"/>
    </w:pPr>
    <w:rPr>
      <w:b/>
      <w:bCs/>
      <w:kern w:val="0"/>
      <w:sz w:val="20"/>
      <w:szCs w:val="32"/>
    </w:rPr>
  </w:style>
  <w:style w:type="paragraph" w:styleId="7">
    <w:name w:val="heading 9"/>
    <w:basedOn w:val="1"/>
    <w:next w:val="1"/>
    <w:unhideWhenUsed/>
    <w:qFormat/>
    <w:uiPriority w:val="0"/>
    <w:pPr>
      <w:keepNext/>
      <w:keepLines/>
      <w:spacing w:before="240" w:after="64" w:line="317" w:lineRule="auto"/>
      <w:outlineLvl w:val="8"/>
    </w:pPr>
    <w:rPr>
      <w:rFonts w:ascii="Arial" w:hAnsi="Arial" w:eastAsia="黑体"/>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5">
    <w:name w:val="Normal Indent"/>
    <w:basedOn w:val="1"/>
    <w:qFormat/>
    <w:uiPriority w:val="0"/>
    <w:pPr>
      <w:ind w:firstLine="420"/>
    </w:pPr>
    <w:rPr>
      <w:szCs w:val="20"/>
    </w:rPr>
  </w:style>
  <w:style w:type="paragraph" w:styleId="8">
    <w:name w:val="caption"/>
    <w:basedOn w:val="1"/>
    <w:next w:val="1"/>
    <w:qFormat/>
    <w:uiPriority w:val="0"/>
    <w:pPr>
      <w:spacing w:line="480" w:lineRule="auto"/>
    </w:pPr>
    <w:rPr>
      <w:rFonts w:ascii="华文中宋" w:hAnsi="华文中宋" w:eastAsia="华文中宋"/>
      <w:sz w:val="36"/>
      <w:szCs w:val="20"/>
    </w:rPr>
  </w:style>
  <w:style w:type="paragraph" w:styleId="9">
    <w:name w:val="Document Map"/>
    <w:basedOn w:val="1"/>
    <w:qFormat/>
    <w:uiPriority w:val="0"/>
    <w:pPr>
      <w:shd w:val="clear" w:color="auto" w:fill="000080"/>
    </w:pPr>
  </w:style>
  <w:style w:type="paragraph" w:styleId="10">
    <w:name w:val="annotation text"/>
    <w:basedOn w:val="1"/>
    <w:link w:val="89"/>
    <w:qFormat/>
    <w:uiPriority w:val="0"/>
    <w:pPr>
      <w:jc w:val="left"/>
    </w:pPr>
  </w:style>
  <w:style w:type="paragraph" w:styleId="11">
    <w:name w:val="Salutation"/>
    <w:basedOn w:val="1"/>
    <w:next w:val="1"/>
    <w:qFormat/>
    <w:uiPriority w:val="0"/>
  </w:style>
  <w:style w:type="paragraph" w:styleId="12">
    <w:name w:val="Body Text 3"/>
    <w:basedOn w:val="1"/>
    <w:qFormat/>
    <w:uiPriority w:val="0"/>
    <w:pPr>
      <w:spacing w:line="440" w:lineRule="exact"/>
    </w:pPr>
    <w:rPr>
      <w:rFonts w:ascii="宋体" w:hAnsi="宋体"/>
      <w:sz w:val="22"/>
    </w:rPr>
  </w:style>
  <w:style w:type="paragraph" w:styleId="13">
    <w:name w:val="Body Text"/>
    <w:basedOn w:val="1"/>
    <w:qFormat/>
    <w:uiPriority w:val="0"/>
    <w:pPr>
      <w:spacing w:line="360" w:lineRule="auto"/>
    </w:pPr>
    <w:rPr>
      <w:sz w:val="24"/>
      <w:szCs w:val="20"/>
    </w:rPr>
  </w:style>
  <w:style w:type="paragraph" w:styleId="14">
    <w:name w:val="Body Text Indent"/>
    <w:basedOn w:val="1"/>
    <w:link w:val="80"/>
    <w:qFormat/>
    <w:uiPriority w:val="0"/>
    <w:pPr>
      <w:spacing w:after="120"/>
      <w:ind w:left="420" w:leftChars="200"/>
    </w:pPr>
  </w:style>
  <w:style w:type="paragraph" w:styleId="15">
    <w:name w:val="toc 3"/>
    <w:basedOn w:val="1"/>
    <w:next w:val="1"/>
    <w:qFormat/>
    <w:uiPriority w:val="39"/>
    <w:pPr>
      <w:tabs>
        <w:tab w:val="right" w:leader="dot" w:pos="9231"/>
      </w:tabs>
      <w:spacing w:line="360" w:lineRule="exact"/>
      <w:ind w:left="418" w:hanging="418" w:hangingChars="190"/>
    </w:pPr>
    <w:rPr>
      <w:rFonts w:ascii="黑体" w:eastAsia="黑体"/>
      <w:sz w:val="22"/>
      <w:szCs w:val="21"/>
    </w:rPr>
  </w:style>
  <w:style w:type="paragraph" w:styleId="16">
    <w:name w:val="Plain Text"/>
    <w:basedOn w:val="1"/>
    <w:link w:val="91"/>
    <w:qFormat/>
    <w:uiPriority w:val="0"/>
    <w:rPr>
      <w:rFonts w:ascii="宋体" w:hAnsi="Courier New"/>
      <w:szCs w:val="20"/>
    </w:rPr>
  </w:style>
  <w:style w:type="paragraph" w:styleId="17">
    <w:name w:val="Date"/>
    <w:basedOn w:val="1"/>
    <w:next w:val="1"/>
    <w:qFormat/>
    <w:uiPriority w:val="0"/>
    <w:rPr>
      <w:szCs w:val="20"/>
    </w:rPr>
  </w:style>
  <w:style w:type="paragraph" w:styleId="18">
    <w:name w:val="Body Text Indent 2"/>
    <w:basedOn w:val="1"/>
    <w:unhideWhenUsed/>
    <w:qFormat/>
    <w:uiPriority w:val="0"/>
    <w:pPr>
      <w:snapToGrid w:val="0"/>
      <w:spacing w:line="312" w:lineRule="auto"/>
      <w:ind w:left="588" w:leftChars="280"/>
    </w:pPr>
    <w:rPr>
      <w:lang w:val="zh-CN"/>
    </w:rPr>
  </w:style>
  <w:style w:type="paragraph" w:styleId="19">
    <w:name w:val="endnote text"/>
    <w:basedOn w:val="1"/>
    <w:qFormat/>
    <w:uiPriority w:val="0"/>
    <w:pPr>
      <w:snapToGrid w:val="0"/>
      <w:jc w:val="left"/>
    </w:pPr>
    <w:rPr>
      <w:rFonts w:ascii="Times New Roman" w:hAnsi="Times New Roman"/>
      <w:sz w:val="20"/>
      <w:szCs w:val="20"/>
    </w:rPr>
  </w:style>
  <w:style w:type="paragraph" w:styleId="20">
    <w:name w:val="Balloon Text"/>
    <w:basedOn w:val="1"/>
    <w:qFormat/>
    <w:uiPriority w:val="0"/>
    <w:rPr>
      <w:sz w:val="18"/>
      <w:szCs w:val="18"/>
    </w:rPr>
  </w:style>
  <w:style w:type="paragraph" w:styleId="21">
    <w:name w:val="footer"/>
    <w:basedOn w:val="1"/>
    <w:link w:val="69"/>
    <w:qFormat/>
    <w:uiPriority w:val="99"/>
    <w:pPr>
      <w:tabs>
        <w:tab w:val="center" w:pos="4153"/>
        <w:tab w:val="right" w:pos="8306"/>
      </w:tabs>
      <w:snapToGrid w:val="0"/>
      <w:jc w:val="left"/>
    </w:pPr>
    <w:rPr>
      <w:sz w:val="18"/>
      <w:szCs w:val="20"/>
    </w:rPr>
  </w:style>
  <w:style w:type="paragraph" w:styleId="22">
    <w:name w:val="header"/>
    <w:basedOn w:val="1"/>
    <w:link w:val="143"/>
    <w:qFormat/>
    <w:uiPriority w:val="99"/>
    <w:pPr>
      <w:pBdr>
        <w:bottom w:val="single" w:color="auto" w:sz="6" w:space="1"/>
      </w:pBdr>
      <w:tabs>
        <w:tab w:val="center" w:pos="4153"/>
        <w:tab w:val="right" w:pos="8306"/>
      </w:tabs>
      <w:snapToGrid w:val="0"/>
      <w:jc w:val="center"/>
    </w:pPr>
    <w:rPr>
      <w:sz w:val="18"/>
      <w:szCs w:val="20"/>
    </w:rPr>
  </w:style>
  <w:style w:type="paragraph" w:styleId="23">
    <w:name w:val="toc 1"/>
    <w:basedOn w:val="1"/>
    <w:next w:val="1"/>
    <w:qFormat/>
    <w:uiPriority w:val="39"/>
    <w:pPr>
      <w:tabs>
        <w:tab w:val="right" w:leader="dot" w:pos="9231"/>
      </w:tabs>
      <w:spacing w:line="360" w:lineRule="exact"/>
    </w:pPr>
    <w:rPr>
      <w:rFonts w:ascii="黑体" w:eastAsia="黑体"/>
      <w:w w:val="90"/>
      <w:sz w:val="22"/>
      <w:szCs w:val="20"/>
    </w:rPr>
  </w:style>
  <w:style w:type="paragraph" w:styleId="24">
    <w:name w:val="Body Text Indent 3"/>
    <w:basedOn w:val="1"/>
    <w:unhideWhenUsed/>
    <w:qFormat/>
    <w:uiPriority w:val="0"/>
    <w:pPr>
      <w:snapToGrid w:val="0"/>
      <w:spacing w:line="312" w:lineRule="auto"/>
      <w:ind w:left="525" w:leftChars="250" w:firstLine="43"/>
    </w:pPr>
    <w:rPr>
      <w:lang w:val="zh-CN"/>
    </w:rPr>
  </w:style>
  <w:style w:type="paragraph" w:styleId="25">
    <w:name w:val="toc 2"/>
    <w:basedOn w:val="1"/>
    <w:next w:val="1"/>
    <w:qFormat/>
    <w:uiPriority w:val="39"/>
    <w:pPr>
      <w:ind w:left="420" w:leftChars="200"/>
    </w:pPr>
  </w:style>
  <w:style w:type="paragraph" w:styleId="26">
    <w:name w:val="Body Text 2"/>
    <w:basedOn w:val="1"/>
    <w:qFormat/>
    <w:uiPriority w:val="0"/>
    <w:pPr>
      <w:spacing w:line="360" w:lineRule="auto"/>
      <w:ind w:right="-126"/>
    </w:pPr>
    <w:rPr>
      <w:rFonts w:ascii="黑体"/>
      <w:sz w:val="36"/>
      <w:szCs w:val="21"/>
    </w:rPr>
  </w:style>
  <w:style w:type="paragraph" w:styleId="27">
    <w:name w:val="Normal (Web)"/>
    <w:basedOn w:val="1"/>
    <w:unhideWhenUsed/>
    <w:qFormat/>
    <w:uiPriority w:val="99"/>
    <w:pPr>
      <w:spacing w:before="100" w:beforeAutospacing="1" w:after="100" w:afterAutospacing="1"/>
      <w:jc w:val="left"/>
    </w:pPr>
    <w:rPr>
      <w:rFonts w:cs="Arial Unicode MS"/>
      <w:kern w:val="0"/>
      <w:sz w:val="24"/>
      <w:lang w:bidi="bo-CN"/>
    </w:rPr>
  </w:style>
  <w:style w:type="paragraph" w:styleId="28">
    <w:name w:val="Title"/>
    <w:basedOn w:val="1"/>
    <w:next w:val="1"/>
    <w:qFormat/>
    <w:uiPriority w:val="0"/>
    <w:pPr>
      <w:spacing w:before="240" w:after="60"/>
      <w:jc w:val="left"/>
      <w:outlineLvl w:val="0"/>
    </w:pPr>
    <w:rPr>
      <w:rFonts w:ascii="Cambria" w:hAnsi="Cambria"/>
      <w:b/>
      <w:bCs/>
      <w:kern w:val="0"/>
      <w:sz w:val="32"/>
      <w:szCs w:val="32"/>
    </w:rPr>
  </w:style>
  <w:style w:type="paragraph" w:styleId="29">
    <w:name w:val="annotation subject"/>
    <w:basedOn w:val="10"/>
    <w:next w:val="10"/>
    <w:link w:val="90"/>
    <w:qFormat/>
    <w:uiPriority w:val="0"/>
    <w:rPr>
      <w:b/>
      <w:bCs/>
    </w:rPr>
  </w:style>
  <w:style w:type="table" w:styleId="31">
    <w:name w:val="Table Grid"/>
    <w:basedOn w:val="3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22"/>
    <w:rPr>
      <w:b/>
      <w:bCs/>
      <w:kern w:val="0"/>
      <w:sz w:val="24"/>
      <w:szCs w:val="20"/>
    </w:rPr>
  </w:style>
  <w:style w:type="character" w:styleId="34">
    <w:name w:val="page number"/>
    <w:basedOn w:val="32"/>
    <w:qFormat/>
    <w:uiPriority w:val="0"/>
  </w:style>
  <w:style w:type="character" w:styleId="35">
    <w:name w:val="FollowedHyperlink"/>
    <w:qFormat/>
    <w:uiPriority w:val="99"/>
    <w:rPr>
      <w:color w:val="333333"/>
      <w:kern w:val="0"/>
      <w:sz w:val="24"/>
      <w:szCs w:val="20"/>
      <w:u w:val="none"/>
    </w:rPr>
  </w:style>
  <w:style w:type="character" w:styleId="36">
    <w:name w:val="Hyperlink"/>
    <w:qFormat/>
    <w:uiPriority w:val="99"/>
    <w:rPr>
      <w:color w:val="333333"/>
      <w:kern w:val="0"/>
      <w:sz w:val="24"/>
      <w:szCs w:val="20"/>
      <w:u w:val="none"/>
    </w:rPr>
  </w:style>
  <w:style w:type="character" w:styleId="37">
    <w:name w:val="annotation reference"/>
    <w:basedOn w:val="32"/>
    <w:qFormat/>
    <w:uiPriority w:val="0"/>
    <w:rPr>
      <w:sz w:val="21"/>
      <w:szCs w:val="21"/>
    </w:rPr>
  </w:style>
  <w:style w:type="paragraph" w:customStyle="1" w:styleId="38">
    <w:name w:val="_Style 15"/>
    <w:basedOn w:val="1"/>
    <w:next w:val="39"/>
    <w:qFormat/>
    <w:uiPriority w:val="34"/>
    <w:pPr>
      <w:ind w:firstLine="420" w:firstLineChars="200"/>
    </w:pPr>
    <w:rPr>
      <w:szCs w:val="22"/>
    </w:rPr>
  </w:style>
  <w:style w:type="paragraph" w:styleId="39">
    <w:name w:val="List Paragraph"/>
    <w:basedOn w:val="1"/>
    <w:qFormat/>
    <w:uiPriority w:val="34"/>
    <w:pPr>
      <w:ind w:firstLine="420" w:firstLineChars="200"/>
    </w:pPr>
  </w:style>
  <w:style w:type="paragraph" w:customStyle="1" w:styleId="40">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41">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2">
    <w:name w:val="列出段落1"/>
    <w:basedOn w:val="1"/>
    <w:qFormat/>
    <w:uiPriority w:val="34"/>
    <w:pPr>
      <w:ind w:firstLine="420" w:firstLineChars="200"/>
    </w:pPr>
  </w:style>
  <w:style w:type="paragraph" w:customStyle="1" w:styleId="43">
    <w:name w:val="*正文"/>
    <w:basedOn w:val="1"/>
    <w:qFormat/>
    <w:uiPriority w:val="0"/>
    <w:pPr>
      <w:widowControl/>
      <w:spacing w:line="360" w:lineRule="auto"/>
      <w:ind w:firstLine="200" w:firstLineChars="200"/>
      <w:jc w:val="left"/>
    </w:pPr>
    <w:rPr>
      <w:rFonts w:ascii="仿宋_GB2312" w:hAnsi="Times New Roman" w:eastAsia="仿宋_GB2312"/>
      <w:sz w:val="24"/>
      <w:szCs w:val="28"/>
    </w:rPr>
  </w:style>
  <w:style w:type="paragraph" w:customStyle="1" w:styleId="44">
    <w:name w:val="Table Paragraph"/>
    <w:basedOn w:val="1"/>
    <w:qFormat/>
    <w:uiPriority w:val="1"/>
    <w:rPr>
      <w:rFonts w:ascii="宋体" w:hAnsi="宋体" w:cs="宋体"/>
      <w:lang w:val="zh-CN" w:bidi="zh-CN"/>
    </w:rPr>
  </w:style>
  <w:style w:type="paragraph" w:customStyle="1" w:styleId="45">
    <w:name w:val="无间隔1"/>
    <w:qFormat/>
    <w:uiPriority w:val="0"/>
    <w:rPr>
      <w:rFonts w:ascii="Calibri" w:hAnsi="Calibri" w:eastAsia="宋体" w:cs="Times New Roman"/>
      <w:sz w:val="22"/>
      <w:szCs w:val="22"/>
      <w:lang w:val="en-US" w:eastAsia="zh-CN" w:bidi="ar-SA"/>
    </w:rPr>
  </w:style>
  <w:style w:type="paragraph" w:customStyle="1" w:styleId="46">
    <w:name w:val="p0"/>
    <w:basedOn w:val="1"/>
    <w:qFormat/>
    <w:uiPriority w:val="0"/>
    <w:pPr>
      <w:widowControl/>
    </w:pPr>
    <w:rPr>
      <w:kern w:val="0"/>
      <w:szCs w:val="21"/>
    </w:rPr>
  </w:style>
  <w:style w:type="paragraph" w:customStyle="1" w:styleId="47">
    <w:name w:val="1"/>
    <w:basedOn w:val="1"/>
    <w:qFormat/>
    <w:uiPriority w:val="0"/>
    <w:pPr>
      <w:spacing w:afterLines="50" w:line="360" w:lineRule="auto"/>
      <w:ind w:firstLine="3243" w:firstLineChars="1080"/>
    </w:pPr>
    <w:rPr>
      <w:rFonts w:ascii="宋体" w:hAnsi="宋体"/>
      <w:b/>
      <w:sz w:val="30"/>
      <w:szCs w:val="21"/>
    </w:rPr>
  </w:style>
  <w:style w:type="paragraph" w:customStyle="1" w:styleId="48">
    <w:name w:val="招标文件"/>
    <w:basedOn w:val="49"/>
    <w:qFormat/>
    <w:uiPriority w:val="0"/>
    <w:pPr>
      <w:tabs>
        <w:tab w:val="left" w:pos="576"/>
        <w:tab w:val="left" w:pos="709"/>
        <w:tab w:val="left" w:pos="4832"/>
      </w:tabs>
    </w:pPr>
  </w:style>
  <w:style w:type="paragraph" w:customStyle="1" w:styleId="49">
    <w:name w:val="招标文件目录"/>
    <w:basedOn w:val="4"/>
    <w:qFormat/>
    <w:uiPriority w:val="0"/>
    <w:pPr>
      <w:tabs>
        <w:tab w:val="left" w:pos="709"/>
        <w:tab w:val="left" w:pos="4832"/>
      </w:tabs>
      <w:ind w:left="709" w:hanging="720"/>
      <w:jc w:val="center"/>
    </w:pPr>
    <w:rPr>
      <w:rFonts w:ascii="宋体" w:hAnsi="宋体" w:eastAsia="宋体"/>
    </w:rPr>
  </w:style>
  <w:style w:type="paragraph" w:customStyle="1" w:styleId="50">
    <w:name w:val="项目-正文"/>
    <w:basedOn w:val="1"/>
    <w:qFormat/>
    <w:uiPriority w:val="0"/>
    <w:pPr>
      <w:widowControl/>
      <w:spacing w:line="360" w:lineRule="auto"/>
      <w:ind w:firstLine="560" w:firstLineChars="200"/>
      <w:textAlignment w:val="baseline"/>
    </w:pPr>
    <w:rPr>
      <w:color w:val="000000"/>
      <w:kern w:val="0"/>
      <w:sz w:val="28"/>
      <w:szCs w:val="20"/>
      <w:u w:color="000000"/>
    </w:rPr>
  </w:style>
  <w:style w:type="paragraph" w:customStyle="1" w:styleId="51">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2">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53">
    <w:name w:val="标准正文"/>
    <w:basedOn w:val="1"/>
    <w:qFormat/>
    <w:uiPriority w:val="0"/>
    <w:pPr>
      <w:spacing w:line="400" w:lineRule="exact"/>
      <w:ind w:firstLine="420" w:firstLineChars="200"/>
    </w:pPr>
    <w:rPr>
      <w:rFonts w:ascii="宋体" w:hAnsi="宋体" w:eastAsia="仿宋_GB2312"/>
      <w:kern w:val="0"/>
      <w:sz w:val="24"/>
    </w:rPr>
  </w:style>
  <w:style w:type="paragraph" w:customStyle="1" w:styleId="54">
    <w:name w:val="Char Char Char2 Char Char Char Char Char Char Char"/>
    <w:basedOn w:val="1"/>
    <w:qFormat/>
    <w:uiPriority w:val="0"/>
    <w:pPr>
      <w:adjustRightInd w:val="0"/>
      <w:spacing w:line="360" w:lineRule="auto"/>
    </w:pPr>
    <w:rPr>
      <w:kern w:val="0"/>
      <w:sz w:val="24"/>
      <w:szCs w:val="20"/>
    </w:rPr>
  </w:style>
  <w:style w:type="paragraph" w:customStyle="1" w:styleId="55">
    <w:name w:val="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56">
    <w:name w:val="！正文"/>
    <w:basedOn w:val="1"/>
    <w:qFormat/>
    <w:uiPriority w:val="0"/>
    <w:pPr>
      <w:spacing w:afterLines="50" w:line="400" w:lineRule="exact"/>
      <w:ind w:right="210" w:firstLine="420" w:firstLineChars="200"/>
    </w:pPr>
    <w:rPr>
      <w:rFonts w:ascii="宋体" w:hAnsi="宋体" w:eastAsia="仿宋_GB2312"/>
      <w:kern w:val="0"/>
      <w:sz w:val="24"/>
    </w:rPr>
  </w:style>
  <w:style w:type="paragraph" w:customStyle="1" w:styleId="57">
    <w:name w:val="首行缩进"/>
    <w:basedOn w:val="1"/>
    <w:qFormat/>
    <w:uiPriority w:val="0"/>
    <w:pPr>
      <w:ind w:firstLine="480"/>
    </w:pPr>
    <w:rPr>
      <w:rFonts w:ascii="Times New Roman" w:hAnsi="Times New Roman"/>
      <w:spacing w:val="10"/>
      <w:szCs w:val="20"/>
      <w:lang w:val="zh-CN"/>
    </w:rPr>
  </w:style>
  <w:style w:type="paragraph" w:customStyle="1" w:styleId="58">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9">
    <w:name w:val="默认段落字体 Para Char Char Char Char Char Char Char"/>
    <w:basedOn w:val="1"/>
    <w:qFormat/>
    <w:uiPriority w:val="0"/>
    <w:pPr>
      <w:adjustRightInd w:val="0"/>
      <w:spacing w:line="360" w:lineRule="auto"/>
    </w:pPr>
  </w:style>
  <w:style w:type="paragraph" w:customStyle="1" w:styleId="60">
    <w:name w:val="正文首行缩进1"/>
    <w:basedOn w:val="1"/>
    <w:qFormat/>
    <w:uiPriority w:val="0"/>
    <w:pPr>
      <w:spacing w:line="360" w:lineRule="auto"/>
      <w:ind w:firstLine="200" w:firstLineChars="200"/>
    </w:pPr>
    <w:rPr>
      <w:rFonts w:ascii="Times New Roman" w:hAnsi="Times New Roman"/>
      <w:sz w:val="24"/>
      <w:szCs w:val="20"/>
    </w:rPr>
  </w:style>
  <w:style w:type="character" w:customStyle="1" w:styleId="61">
    <w:name w:val="apple-converted-space"/>
    <w:qFormat/>
    <w:uiPriority w:val="0"/>
  </w:style>
  <w:style w:type="character" w:customStyle="1" w:styleId="62">
    <w:name w:val="font141"/>
    <w:qFormat/>
    <w:uiPriority w:val="0"/>
    <w:rPr>
      <w:rFonts w:hint="default" w:ascii="Times New Roman" w:hAnsi="Times New Roman" w:cs="Times New Roman"/>
      <w:color w:val="000000"/>
      <w:kern w:val="0"/>
      <w:sz w:val="14"/>
      <w:szCs w:val="14"/>
      <w:u w:val="none"/>
    </w:rPr>
  </w:style>
  <w:style w:type="character" w:customStyle="1" w:styleId="63">
    <w:name w:val="font151"/>
    <w:qFormat/>
    <w:uiPriority w:val="0"/>
    <w:rPr>
      <w:rFonts w:ascii="ArialMT" w:hAnsi="ArialMT" w:eastAsia="ArialMT" w:cs="ArialMT"/>
      <w:color w:val="000000"/>
      <w:kern w:val="0"/>
      <w:sz w:val="15"/>
      <w:szCs w:val="15"/>
      <w:u w:val="none"/>
    </w:rPr>
  </w:style>
  <w:style w:type="character" w:customStyle="1" w:styleId="64">
    <w:name w:val="font71"/>
    <w:qFormat/>
    <w:uiPriority w:val="0"/>
    <w:rPr>
      <w:rFonts w:hint="default" w:ascii="Verdana" w:hAnsi="Verdana" w:cs="Verdana"/>
      <w:b/>
      <w:color w:val="000000"/>
      <w:kern w:val="0"/>
      <w:sz w:val="20"/>
      <w:szCs w:val="20"/>
      <w:u w:val="none"/>
    </w:rPr>
  </w:style>
  <w:style w:type="character" w:customStyle="1" w:styleId="65">
    <w:name w:val="font121"/>
    <w:qFormat/>
    <w:uiPriority w:val="0"/>
    <w:rPr>
      <w:rFonts w:ascii="Symbol" w:hAnsi="Symbol" w:cs="Symbol"/>
      <w:color w:val="000000"/>
      <w:kern w:val="0"/>
      <w:sz w:val="20"/>
      <w:szCs w:val="20"/>
      <w:u w:val="none"/>
    </w:rPr>
  </w:style>
  <w:style w:type="character" w:customStyle="1" w:styleId="66">
    <w:name w:val="biaoti"/>
    <w:qFormat/>
    <w:uiPriority w:val="0"/>
    <w:rPr>
      <w:rFonts w:ascii="Calisto MT" w:hAnsi="Calisto MT" w:eastAsia="Calisto MT" w:cs="Calisto MT"/>
      <w:b/>
      <w:color w:val="FE434C"/>
      <w:kern w:val="0"/>
      <w:sz w:val="24"/>
      <w:szCs w:val="24"/>
      <w:u w:val="none"/>
    </w:rPr>
  </w:style>
  <w:style w:type="character" w:customStyle="1" w:styleId="67">
    <w:name w:val="style71"/>
    <w:qFormat/>
    <w:uiPriority w:val="0"/>
    <w:rPr>
      <w:color w:val="FF0000"/>
      <w:kern w:val="0"/>
      <w:sz w:val="24"/>
      <w:szCs w:val="20"/>
    </w:rPr>
  </w:style>
  <w:style w:type="character" w:customStyle="1" w:styleId="68">
    <w:name w:val="font11"/>
    <w:qFormat/>
    <w:uiPriority w:val="0"/>
    <w:rPr>
      <w:rFonts w:hint="eastAsia" w:ascii="宋体" w:hAnsi="宋体" w:eastAsia="宋体" w:cs="宋体"/>
      <w:b/>
      <w:color w:val="000000"/>
      <w:kern w:val="0"/>
      <w:sz w:val="16"/>
      <w:szCs w:val="16"/>
      <w:u w:val="none"/>
    </w:rPr>
  </w:style>
  <w:style w:type="character" w:customStyle="1" w:styleId="69">
    <w:name w:val="页脚 Char"/>
    <w:link w:val="21"/>
    <w:qFormat/>
    <w:locked/>
    <w:uiPriority w:val="99"/>
    <w:rPr>
      <w:kern w:val="2"/>
      <w:sz w:val="18"/>
    </w:rPr>
  </w:style>
  <w:style w:type="character" w:customStyle="1" w:styleId="70">
    <w:name w:val="font101"/>
    <w:qFormat/>
    <w:uiPriority w:val="0"/>
    <w:rPr>
      <w:rFonts w:ascii="Symbol" w:hAnsi="Symbol" w:cs="Symbol"/>
      <w:color w:val="000000"/>
      <w:kern w:val="0"/>
      <w:sz w:val="16"/>
      <w:szCs w:val="16"/>
      <w:u w:val="none"/>
    </w:rPr>
  </w:style>
  <w:style w:type="character" w:customStyle="1" w:styleId="71">
    <w:name w:val="font132"/>
    <w:qFormat/>
    <w:uiPriority w:val="0"/>
    <w:rPr>
      <w:rFonts w:ascii="Symbol" w:hAnsi="Symbol" w:cs="Symbol"/>
      <w:color w:val="000000"/>
      <w:kern w:val="0"/>
      <w:sz w:val="16"/>
      <w:szCs w:val="16"/>
      <w:u w:val="none"/>
    </w:rPr>
  </w:style>
  <w:style w:type="character" w:customStyle="1" w:styleId="72">
    <w:name w:val="font61"/>
    <w:qFormat/>
    <w:uiPriority w:val="0"/>
    <w:rPr>
      <w:rFonts w:hint="eastAsia" w:ascii="宋体" w:hAnsi="宋体" w:eastAsia="宋体" w:cs="宋体"/>
      <w:b/>
      <w:color w:val="000000"/>
      <w:kern w:val="0"/>
      <w:sz w:val="20"/>
      <w:szCs w:val="20"/>
      <w:u w:val="none"/>
    </w:rPr>
  </w:style>
  <w:style w:type="character" w:customStyle="1" w:styleId="73">
    <w:name w:val="font131"/>
    <w:qFormat/>
    <w:uiPriority w:val="0"/>
    <w:rPr>
      <w:rFonts w:hint="eastAsia" w:ascii="新宋体" w:hAnsi="新宋体" w:eastAsia="新宋体" w:cs="新宋体"/>
      <w:color w:val="000000"/>
      <w:kern w:val="0"/>
      <w:sz w:val="16"/>
      <w:szCs w:val="16"/>
      <w:u w:val="single"/>
    </w:rPr>
  </w:style>
  <w:style w:type="character" w:customStyle="1" w:styleId="74">
    <w:name w:val="font161"/>
    <w:qFormat/>
    <w:uiPriority w:val="0"/>
    <w:rPr>
      <w:rFonts w:ascii="ArialMT" w:hAnsi="ArialMT" w:eastAsia="ArialMT" w:cs="ArialMT"/>
      <w:color w:val="000000"/>
      <w:kern w:val="0"/>
      <w:sz w:val="15"/>
      <w:szCs w:val="15"/>
      <w:u w:val="none"/>
    </w:rPr>
  </w:style>
  <w:style w:type="character" w:customStyle="1" w:styleId="75">
    <w:name w:val="标题 2 Char"/>
    <w:link w:val="4"/>
    <w:qFormat/>
    <w:uiPriority w:val="0"/>
    <w:rPr>
      <w:rFonts w:ascii="Arial" w:hAnsi="Arial" w:eastAsia="黑体"/>
      <w:b/>
      <w:bCs/>
      <w:kern w:val="2"/>
      <w:sz w:val="32"/>
      <w:szCs w:val="32"/>
      <w:lang w:val="en-US" w:eastAsia="zh-CN" w:bidi="ar-SA"/>
    </w:rPr>
  </w:style>
  <w:style w:type="character" w:customStyle="1" w:styleId="76">
    <w:name w:val="font31"/>
    <w:qFormat/>
    <w:uiPriority w:val="0"/>
    <w:rPr>
      <w:rFonts w:hint="default" w:ascii="Verdana" w:hAnsi="Verdana" w:cs="Verdana"/>
      <w:color w:val="000000"/>
      <w:kern w:val="0"/>
      <w:sz w:val="20"/>
      <w:szCs w:val="20"/>
      <w:u w:val="none"/>
    </w:rPr>
  </w:style>
  <w:style w:type="character" w:customStyle="1" w:styleId="77">
    <w:name w:val="font91"/>
    <w:qFormat/>
    <w:uiPriority w:val="0"/>
    <w:rPr>
      <w:rFonts w:hint="eastAsia" w:ascii="宋体" w:hAnsi="宋体" w:eastAsia="宋体" w:cs="宋体"/>
      <w:color w:val="000000"/>
      <w:kern w:val="0"/>
      <w:sz w:val="20"/>
      <w:szCs w:val="20"/>
      <w:u w:val="none"/>
    </w:rPr>
  </w:style>
  <w:style w:type="character" w:customStyle="1" w:styleId="78">
    <w:name w:val="font81"/>
    <w:qFormat/>
    <w:uiPriority w:val="0"/>
    <w:rPr>
      <w:rFonts w:hint="default" w:ascii="Verdana" w:hAnsi="Verdana" w:cs="Verdana"/>
      <w:b/>
      <w:color w:val="339966"/>
      <w:kern w:val="0"/>
      <w:sz w:val="20"/>
      <w:szCs w:val="20"/>
      <w:u w:val="none"/>
    </w:rPr>
  </w:style>
  <w:style w:type="character" w:customStyle="1" w:styleId="79">
    <w:name w:val="font112"/>
    <w:qFormat/>
    <w:uiPriority w:val="0"/>
    <w:rPr>
      <w:rFonts w:hint="eastAsia" w:ascii="宋体" w:hAnsi="宋体" w:eastAsia="宋体" w:cs="宋体"/>
      <w:color w:val="000000"/>
      <w:kern w:val="0"/>
      <w:sz w:val="16"/>
      <w:szCs w:val="16"/>
      <w:u w:val="none"/>
    </w:rPr>
  </w:style>
  <w:style w:type="character" w:customStyle="1" w:styleId="80">
    <w:name w:val="正文文本缩进 Char"/>
    <w:link w:val="14"/>
    <w:qFormat/>
    <w:uiPriority w:val="0"/>
    <w:rPr>
      <w:kern w:val="2"/>
      <w:sz w:val="21"/>
      <w:szCs w:val="24"/>
    </w:rPr>
  </w:style>
  <w:style w:type="character" w:customStyle="1" w:styleId="81">
    <w:name w:val="font13"/>
    <w:qFormat/>
    <w:uiPriority w:val="0"/>
    <w:rPr>
      <w:rFonts w:hint="eastAsia" w:ascii="宋体" w:hAnsi="宋体" w:eastAsia="宋体" w:cs="宋体"/>
      <w:b/>
      <w:color w:val="000000"/>
      <w:kern w:val="0"/>
      <w:sz w:val="16"/>
      <w:szCs w:val="16"/>
      <w:u w:val="none"/>
    </w:rPr>
  </w:style>
  <w:style w:type="character" w:customStyle="1" w:styleId="82">
    <w:name w:val="font51"/>
    <w:qFormat/>
    <w:uiPriority w:val="0"/>
    <w:rPr>
      <w:rFonts w:hint="default" w:ascii="Verdana" w:hAnsi="Verdana" w:cs="Verdana"/>
      <w:color w:val="000000"/>
      <w:kern w:val="0"/>
      <w:sz w:val="20"/>
      <w:szCs w:val="20"/>
      <w:u w:val="none"/>
    </w:rPr>
  </w:style>
  <w:style w:type="character" w:customStyle="1" w:styleId="83">
    <w:name w:val="font21"/>
    <w:qFormat/>
    <w:uiPriority w:val="0"/>
    <w:rPr>
      <w:rFonts w:hint="eastAsia" w:ascii="宋体" w:hAnsi="宋体" w:eastAsia="宋体" w:cs="宋体"/>
      <w:color w:val="000000"/>
      <w:kern w:val="0"/>
      <w:sz w:val="16"/>
      <w:szCs w:val="16"/>
      <w:u w:val="none"/>
    </w:rPr>
  </w:style>
  <w:style w:type="character" w:customStyle="1" w:styleId="84">
    <w:name w:val="style91"/>
    <w:qFormat/>
    <w:uiPriority w:val="0"/>
    <w:rPr>
      <w:rFonts w:hint="default" w:ascii="ˎ̥" w:hAnsi="ˎ̥"/>
      <w:color w:val="666666"/>
      <w:sz w:val="16"/>
      <w:szCs w:val="16"/>
      <w:u w:val="none"/>
    </w:rPr>
  </w:style>
  <w:style w:type="character" w:customStyle="1" w:styleId="85">
    <w:name w:val="font41"/>
    <w:qFormat/>
    <w:uiPriority w:val="0"/>
    <w:rPr>
      <w:rFonts w:hint="eastAsia" w:ascii="新宋体" w:hAnsi="新宋体" w:eastAsia="新宋体" w:cs="新宋体"/>
      <w:color w:val="000000"/>
      <w:kern w:val="0"/>
      <w:sz w:val="16"/>
      <w:szCs w:val="16"/>
      <w:u w:val="none"/>
    </w:rPr>
  </w:style>
  <w:style w:type="character" w:customStyle="1" w:styleId="86">
    <w:name w:val="标题 3 Char"/>
    <w:link w:val="6"/>
    <w:qFormat/>
    <w:uiPriority w:val="0"/>
    <w:rPr>
      <w:b/>
      <w:bCs/>
      <w:szCs w:val="32"/>
    </w:rPr>
  </w:style>
  <w:style w:type="character" w:customStyle="1" w:styleId="87">
    <w:name w:val="font111"/>
    <w:qFormat/>
    <w:uiPriority w:val="0"/>
    <w:rPr>
      <w:rFonts w:hint="eastAsia" w:ascii="宋体" w:hAnsi="宋体" w:eastAsia="宋体" w:cs="宋体"/>
      <w:color w:val="000000"/>
      <w:kern w:val="0"/>
      <w:sz w:val="20"/>
      <w:szCs w:val="20"/>
      <w:u w:val="none"/>
    </w:rPr>
  </w:style>
  <w:style w:type="character" w:customStyle="1" w:styleId="88">
    <w:name w:val="font01"/>
    <w:basedOn w:val="32"/>
    <w:qFormat/>
    <w:uiPriority w:val="0"/>
    <w:rPr>
      <w:rFonts w:hint="eastAsia" w:ascii="微软雅黑" w:hAnsi="微软雅黑" w:eastAsia="微软雅黑" w:cs="微软雅黑"/>
      <w:color w:val="000000"/>
      <w:sz w:val="18"/>
      <w:szCs w:val="18"/>
      <w:u w:val="none"/>
    </w:rPr>
  </w:style>
  <w:style w:type="character" w:customStyle="1" w:styleId="89">
    <w:name w:val="批注文字 Char"/>
    <w:basedOn w:val="32"/>
    <w:link w:val="10"/>
    <w:qFormat/>
    <w:uiPriority w:val="0"/>
    <w:rPr>
      <w:kern w:val="2"/>
      <w:sz w:val="21"/>
      <w:szCs w:val="24"/>
    </w:rPr>
  </w:style>
  <w:style w:type="character" w:customStyle="1" w:styleId="90">
    <w:name w:val="批注主题 Char"/>
    <w:basedOn w:val="89"/>
    <w:link w:val="29"/>
    <w:qFormat/>
    <w:uiPriority w:val="0"/>
    <w:rPr>
      <w:b/>
      <w:bCs/>
      <w:kern w:val="2"/>
      <w:sz w:val="21"/>
      <w:szCs w:val="24"/>
    </w:rPr>
  </w:style>
  <w:style w:type="character" w:customStyle="1" w:styleId="91">
    <w:name w:val="纯文本 Char"/>
    <w:basedOn w:val="32"/>
    <w:link w:val="16"/>
    <w:qFormat/>
    <w:uiPriority w:val="0"/>
    <w:rPr>
      <w:rFonts w:ascii="宋体" w:hAnsi="Courier New"/>
      <w:kern w:val="2"/>
      <w:sz w:val="21"/>
    </w:rPr>
  </w:style>
  <w:style w:type="paragraph" w:customStyle="1" w:styleId="92">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93">
    <w:name w:val="标题 5（有编号）（绿盟科技）"/>
    <w:basedOn w:val="1"/>
    <w:next w:val="1"/>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94">
    <w:name w:val="xl69"/>
    <w:basedOn w:val="1"/>
    <w:uiPriority w:val="0"/>
    <w:pPr>
      <w:widowControl/>
      <w:spacing w:before="100" w:beforeAutospacing="1" w:after="100" w:afterAutospacing="1"/>
      <w:jc w:val="left"/>
    </w:pPr>
    <w:rPr>
      <w:rFonts w:ascii="宋体" w:hAnsi="宋体" w:cs="宋体"/>
      <w:b/>
      <w:bCs/>
      <w:kern w:val="0"/>
      <w:sz w:val="24"/>
    </w:rPr>
  </w:style>
  <w:style w:type="paragraph" w:customStyle="1" w:styleId="95">
    <w:name w:val="xl70"/>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96">
    <w:name w:val="xl7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7">
    <w:name w:val="xl72"/>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98">
    <w:name w:val="xl73"/>
    <w:basedOn w:val="1"/>
    <w:qFormat/>
    <w:uiPriority w:val="0"/>
    <w:pPr>
      <w:widowControl/>
      <w:spacing w:before="100" w:beforeAutospacing="1" w:after="100" w:afterAutospacing="1"/>
      <w:jc w:val="left"/>
    </w:pPr>
    <w:rPr>
      <w:rFonts w:ascii="宋体" w:hAnsi="宋体" w:cs="宋体"/>
      <w:kern w:val="0"/>
      <w:sz w:val="24"/>
    </w:rPr>
  </w:style>
  <w:style w:type="paragraph" w:customStyle="1" w:styleId="99">
    <w:name w:val="xl74"/>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00">
    <w:name w:val="xl7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01">
    <w:name w:val="xl76"/>
    <w:basedOn w:val="1"/>
    <w:qFormat/>
    <w:uiPriority w:val="0"/>
    <w:pPr>
      <w:widowControl/>
      <w:spacing w:before="100" w:beforeAutospacing="1" w:after="100" w:afterAutospacing="1"/>
      <w:jc w:val="left"/>
    </w:pPr>
    <w:rPr>
      <w:rFonts w:ascii="宋体" w:hAnsi="宋体" w:cs="宋体"/>
      <w:kern w:val="0"/>
      <w:sz w:val="24"/>
    </w:rPr>
  </w:style>
  <w:style w:type="paragraph" w:customStyle="1" w:styleId="102">
    <w:name w:val="xl77"/>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0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0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0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0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
    <w:name w:val="xl8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1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1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1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19">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20">
    <w:name w:val="xl9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2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22">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2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12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25">
    <w:name w:val="xl100"/>
    <w:basedOn w:val="1"/>
    <w:qFormat/>
    <w:uiPriority w:val="0"/>
    <w:pPr>
      <w:widowControl/>
      <w:spacing w:before="100" w:beforeAutospacing="1" w:after="100" w:afterAutospacing="1"/>
      <w:jc w:val="center"/>
    </w:pPr>
    <w:rPr>
      <w:rFonts w:ascii="宋体" w:hAnsi="宋体" w:cs="宋体"/>
      <w:b/>
      <w:bCs/>
      <w:kern w:val="0"/>
      <w:sz w:val="44"/>
      <w:szCs w:val="44"/>
    </w:rPr>
  </w:style>
  <w:style w:type="paragraph" w:customStyle="1" w:styleId="126">
    <w:name w:val="xl101"/>
    <w:basedOn w:val="1"/>
    <w:qFormat/>
    <w:uiPriority w:val="0"/>
    <w:pPr>
      <w:widowControl/>
      <w:spacing w:before="100" w:beforeAutospacing="1" w:after="100" w:afterAutospacing="1"/>
      <w:jc w:val="center"/>
    </w:pPr>
    <w:rPr>
      <w:rFonts w:ascii="宋体" w:hAnsi="宋体" w:cs="宋体"/>
      <w:kern w:val="0"/>
      <w:sz w:val="44"/>
      <w:szCs w:val="44"/>
    </w:rPr>
  </w:style>
  <w:style w:type="paragraph" w:customStyle="1" w:styleId="127">
    <w:name w:val="xl102"/>
    <w:basedOn w:val="1"/>
    <w:uiPriority w:val="0"/>
    <w:pPr>
      <w:widowControl/>
      <w:spacing w:before="100" w:beforeAutospacing="1" w:after="100" w:afterAutospacing="1"/>
      <w:jc w:val="center"/>
    </w:pPr>
    <w:rPr>
      <w:rFonts w:ascii="宋体" w:hAnsi="宋体" w:cs="宋体"/>
      <w:kern w:val="0"/>
      <w:sz w:val="44"/>
      <w:szCs w:val="44"/>
    </w:rPr>
  </w:style>
  <w:style w:type="paragraph" w:customStyle="1" w:styleId="128">
    <w:name w:val="xl103"/>
    <w:basedOn w:val="1"/>
    <w:qFormat/>
    <w:uiPriority w:val="0"/>
    <w:pPr>
      <w:widowControl/>
      <w:spacing w:before="100" w:beforeAutospacing="1" w:after="100" w:afterAutospacing="1"/>
      <w:jc w:val="center"/>
    </w:pPr>
    <w:rPr>
      <w:rFonts w:ascii="宋体" w:hAnsi="宋体" w:cs="宋体"/>
      <w:kern w:val="0"/>
      <w:sz w:val="44"/>
      <w:szCs w:val="44"/>
    </w:rPr>
  </w:style>
  <w:style w:type="paragraph" w:customStyle="1" w:styleId="129">
    <w:name w:val="xl104"/>
    <w:basedOn w:val="1"/>
    <w:qFormat/>
    <w:uiPriority w:val="0"/>
    <w:pPr>
      <w:widowControl/>
      <w:spacing w:before="100" w:beforeAutospacing="1" w:after="100" w:afterAutospacing="1"/>
      <w:jc w:val="right"/>
    </w:pPr>
    <w:rPr>
      <w:rFonts w:ascii="宋体" w:hAnsi="宋体" w:cs="宋体"/>
      <w:kern w:val="0"/>
      <w:sz w:val="18"/>
      <w:szCs w:val="18"/>
    </w:rPr>
  </w:style>
  <w:style w:type="paragraph" w:customStyle="1" w:styleId="130">
    <w:name w:val="xl105"/>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131">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32">
    <w:name w:val="xl10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13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3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6">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7">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9">
    <w:name w:val="xl11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4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41">
    <w:name w:val="font5"/>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42">
    <w:name w:val="font6"/>
    <w:basedOn w:val="1"/>
    <w:qFormat/>
    <w:uiPriority w:val="0"/>
    <w:pPr>
      <w:widowControl/>
      <w:spacing w:before="100" w:beforeAutospacing="1" w:after="100" w:afterAutospacing="1"/>
      <w:jc w:val="left"/>
    </w:pPr>
    <w:rPr>
      <w:rFonts w:ascii="宋体" w:hAnsi="宋体" w:cs="宋体"/>
      <w:b/>
      <w:bCs/>
      <w:color w:val="000000"/>
      <w:kern w:val="0"/>
      <w:sz w:val="18"/>
      <w:szCs w:val="18"/>
    </w:rPr>
  </w:style>
  <w:style w:type="character" w:customStyle="1" w:styleId="143">
    <w:name w:val="页眉 Char"/>
    <w:basedOn w:val="32"/>
    <w:link w:val="22"/>
    <w:qFormat/>
    <w:uiPriority w:val="99"/>
    <w:rPr>
      <w:rFonts w:ascii="Calibri" w:hAnsi="Calibri"/>
      <w:kern w:val="2"/>
      <w:sz w:val="18"/>
    </w:rPr>
  </w:style>
  <w:style w:type="paragraph" w:customStyle="1" w:styleId="144">
    <w:name w:val="样式 首行缩进:  2 字符"/>
    <w:basedOn w:val="1"/>
    <w:qFormat/>
    <w:uiPriority w:val="0"/>
    <w:pPr>
      <w:ind w:firstLine="420" w:firstLineChars="200"/>
    </w:pPr>
    <w:rPr>
      <w:rFonts w:ascii="宋体" w:hAnsi="Times New Roman" w:cs="宋体"/>
      <w:szCs w:val="20"/>
      <w:u w:color="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7C3033-65D9-4775-AD3E-F0B0DC289EC5}">
  <ds:schemaRefs/>
</ds:datastoreItem>
</file>

<file path=docProps/app.xml><?xml version="1.0" encoding="utf-8"?>
<Properties xmlns="http://schemas.openxmlformats.org/officeDocument/2006/extended-properties" xmlns:vt="http://schemas.openxmlformats.org/officeDocument/2006/docPropsVTypes">
  <Template>Normal</Template>
  <Company>gxzb</Company>
  <Pages>1</Pages>
  <Words>22025</Words>
  <Characters>125546</Characters>
  <Lines>1046</Lines>
  <Paragraphs>294</Paragraphs>
  <TotalTime>1</TotalTime>
  <ScaleCrop>false</ScaleCrop>
  <LinksUpToDate>false</LinksUpToDate>
  <CharactersWithSpaces>147277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2021-11-05T03:03:00Z</dcterms:created>
  <dc:creator>ACER</dc:creator>
  <cp:lastModifiedBy>灵魂的呼叫</cp:lastModifiedBy>
  <cp:lastPrinted>2021-11-14T05:49:00Z</cp:lastPrinted>
  <dcterms:modified xsi:type="dcterms:W3CDTF">2021-11-22T01:54:07Z</dcterms:modified>
  <dc:title>中国人民银行昌都地区中心支行</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ACC6A822A8874744B3D2E75229CD4F25</vt:lpwstr>
  </property>
</Properties>
</file>